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B8427" w14:textId="7783B1B6" w:rsidR="004A5189" w:rsidRDefault="004A5189"/>
    <w:p w14:paraId="4059DB70" w14:textId="2ADF9640" w:rsidR="00AA6DF9" w:rsidRDefault="004A5189" w:rsidP="00C47458">
      <w:pPr>
        <w:jc w:val="both"/>
      </w:pPr>
      <w:r>
        <w:t xml:space="preserve">Le nombre de livreurs bio continue de décliner à un rythme </w:t>
      </w:r>
      <w:r w:rsidR="00D65713">
        <w:t>inédit</w:t>
      </w:r>
      <w:r w:rsidR="00545D99" w:rsidRPr="00545D99">
        <w:rPr>
          <w:color w:val="000000" w:themeColor="text1"/>
        </w:rPr>
        <w:t>.</w:t>
      </w:r>
      <w:r w:rsidR="008A4789">
        <w:rPr>
          <w:color w:val="EE0000"/>
        </w:rPr>
        <w:t xml:space="preserve"> </w:t>
      </w:r>
      <w:r>
        <w:t>A août</w:t>
      </w:r>
      <w:r w:rsidR="003842E7">
        <w:t xml:space="preserve"> 2025</w:t>
      </w:r>
      <w:r>
        <w:t>, il était en baisse de -6% sur un an</w:t>
      </w:r>
      <w:r w:rsidR="00AA6DF9">
        <w:t xml:space="preserve">, et </w:t>
      </w:r>
      <w:r w:rsidR="00414164">
        <w:t>inférieur de 15%</w:t>
      </w:r>
      <w:r w:rsidR="00AA6DF9">
        <w:t xml:space="preserve"> par rapport au maximum atteint en 2023. </w:t>
      </w:r>
      <w:r w:rsidR="00A00126">
        <w:t xml:space="preserve">Si de plus en plus d’éleveurs quittent le bio, c’est avant tout </w:t>
      </w:r>
      <w:r w:rsidR="008D0B97">
        <w:t>du fait</w:t>
      </w:r>
      <w:r w:rsidR="00A00126">
        <w:t xml:space="preserve"> du faible écart de prix entre le lait bio et le lait conventionnel.</w:t>
      </w:r>
      <w:r w:rsidR="008D0B97">
        <w:t xml:space="preserve"> </w:t>
      </w:r>
      <w:r w:rsidR="00A00126">
        <w:t xml:space="preserve">Aujourd’hui, la différence tourne autour de 40 euros </w:t>
      </w:r>
      <w:r w:rsidR="00545D99">
        <w:t xml:space="preserve">/ 1 000 litres </w:t>
      </w:r>
      <w:r w:rsidR="00A00126">
        <w:t xml:space="preserve">sur un an glissant </w:t>
      </w:r>
      <w:r w:rsidR="00341BAE">
        <w:t>en moyenne</w:t>
      </w:r>
      <w:r w:rsidR="00A00126">
        <w:t>— insuffisant pour compenser les coûts de production plus élevés en bio.</w:t>
      </w:r>
      <w:r w:rsidR="008D0B97">
        <w:t xml:space="preserve"> </w:t>
      </w:r>
      <w:r w:rsidR="00546953">
        <w:t>Néanmoins, c</w:t>
      </w:r>
      <w:r w:rsidR="008F14F8">
        <w:t xml:space="preserve">et écart de prix </w:t>
      </w:r>
      <w:r w:rsidR="00546953">
        <w:t>pourrait</w:t>
      </w:r>
      <w:r w:rsidR="00AA6DF9">
        <w:t xml:space="preserve"> de nouveau s’accentuer dans les prochains mois, en lien avec </w:t>
      </w:r>
      <w:r w:rsidR="008F14F8">
        <w:t>la</w:t>
      </w:r>
      <w:r w:rsidR="00AA6DF9">
        <w:t xml:space="preserve"> chute </w:t>
      </w:r>
      <w:r w:rsidR="00546953">
        <w:t xml:space="preserve">actuelle </w:t>
      </w:r>
      <w:r w:rsidR="00AA6DF9">
        <w:t>des cours du beurre poudre, qui</w:t>
      </w:r>
      <w:r w:rsidR="008A4789">
        <w:t xml:space="preserve"> devrait affecter</w:t>
      </w:r>
      <w:r w:rsidR="00551D88">
        <w:t xml:space="preserve"> </w:t>
      </w:r>
      <w:r w:rsidR="00AA6DF9">
        <w:t>moins directement les prix du lait bio.</w:t>
      </w:r>
    </w:p>
    <w:p w14:paraId="6D092CEC" w14:textId="2C24898E" w:rsidR="004A5189" w:rsidRDefault="00AA6DF9">
      <w:r>
        <w:rPr>
          <w:noProof/>
        </w:rPr>
        <w:drawing>
          <wp:inline distT="0" distB="0" distL="0" distR="0" wp14:anchorId="661CCF02" wp14:editId="49261575">
            <wp:extent cx="5760720" cy="3550285"/>
            <wp:effectExtent l="0" t="0" r="0" b="0"/>
            <wp:docPr id="688708165" name="Image 1" descr="Une image contenant texte, capture d’écran, Tracé,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708165" name="Image 1" descr="Une image contenant texte, capture d’écran, Tracé, diagramme&#10;&#10;Le contenu généré par l’IA peut êtr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3550285"/>
                    </a:xfrm>
                    <a:prstGeom prst="rect">
                      <a:avLst/>
                    </a:prstGeom>
                    <a:noFill/>
                  </pic:spPr>
                </pic:pic>
              </a:graphicData>
            </a:graphic>
          </wp:inline>
        </w:drawing>
      </w:r>
    </w:p>
    <w:p w14:paraId="633BD914" w14:textId="77777777" w:rsidR="008A4789" w:rsidRDefault="008A4789"/>
    <w:p w14:paraId="4B35283B" w14:textId="77777777" w:rsidR="008A4789" w:rsidRDefault="008A4789"/>
    <w:p w14:paraId="4B74FBC5" w14:textId="77777777" w:rsidR="008A4789" w:rsidRDefault="008A4789"/>
    <w:p w14:paraId="22BAB4DD" w14:textId="77777777" w:rsidR="008A4789" w:rsidRDefault="008A4789"/>
    <w:p w14:paraId="31CB8EEF" w14:textId="77777777" w:rsidR="008A4789" w:rsidRDefault="008A4789"/>
    <w:p w14:paraId="0368BD18" w14:textId="77777777" w:rsidR="008A4789" w:rsidRDefault="008A4789"/>
    <w:p w14:paraId="606C010E" w14:textId="77777777" w:rsidR="008A4789" w:rsidRDefault="008A4789"/>
    <w:p w14:paraId="5D274E50" w14:textId="77777777" w:rsidR="008A4789" w:rsidRDefault="008A4789"/>
    <w:p w14:paraId="7FE98EE0" w14:textId="77777777" w:rsidR="008A4789" w:rsidRDefault="008A4789"/>
    <w:p w14:paraId="04C0BB76" w14:textId="77777777" w:rsidR="009006F7" w:rsidRDefault="009006F7" w:rsidP="00C47458">
      <w:pPr>
        <w:jc w:val="both"/>
      </w:pPr>
      <w:r w:rsidRPr="009006F7">
        <w:lastRenderedPageBreak/>
        <w:t>Chaque année, le CNIEL mène une étude prospective auprès des collecteurs de lait, afin d’identifier les conversions et les cessations d’activité prévues chez leurs éleveurs.</w:t>
      </w:r>
    </w:p>
    <w:p w14:paraId="165AC423" w14:textId="796BE2E4" w:rsidR="00AA6DF9" w:rsidRDefault="004A5189" w:rsidP="00C47458">
      <w:pPr>
        <w:jc w:val="both"/>
      </w:pPr>
      <w:r>
        <w:t xml:space="preserve">La dernière enquête </w:t>
      </w:r>
      <w:r w:rsidR="001E7981">
        <w:t xml:space="preserve">datée d’août 2025 </w:t>
      </w:r>
      <w:r>
        <w:t xml:space="preserve">prévoit une </w:t>
      </w:r>
      <w:r w:rsidR="008B2108">
        <w:t xml:space="preserve">nouvelle </w:t>
      </w:r>
      <w:r>
        <w:t xml:space="preserve">accélération des cessations pour les 12 mois à </w:t>
      </w:r>
      <w:r w:rsidR="00C47458">
        <w:t>venir ;</w:t>
      </w:r>
      <w:r>
        <w:t xml:space="preserve"> </w:t>
      </w:r>
      <w:r w:rsidR="008A4789">
        <w:t>p</w:t>
      </w:r>
      <w:r w:rsidR="00B30870">
        <w:t>rès de 160 d’</w:t>
      </w:r>
      <w:r>
        <w:t xml:space="preserve">arrêts </w:t>
      </w:r>
      <w:r w:rsidR="00996361">
        <w:t xml:space="preserve">d’activités lait bio sont </w:t>
      </w:r>
      <w:r>
        <w:t xml:space="preserve">d’ores </w:t>
      </w:r>
      <w:r w:rsidR="00B30870">
        <w:t xml:space="preserve">et déjà prévus </w:t>
      </w:r>
      <w:r w:rsidR="00CC277B">
        <w:t xml:space="preserve">d’ici juin </w:t>
      </w:r>
      <w:r w:rsidR="008A4789">
        <w:t>2026, soit</w:t>
      </w:r>
      <w:r w:rsidR="00996361">
        <w:t xml:space="preserve"> 3 fois plus que</w:t>
      </w:r>
      <w:r w:rsidR="00AA6DF9">
        <w:t xml:space="preserve"> l’an dernier à l</w:t>
      </w:r>
      <w:r w:rsidR="00996361">
        <w:t>a</w:t>
      </w:r>
      <w:r w:rsidR="00AA6DF9">
        <w:t xml:space="preserve"> même époque</w:t>
      </w:r>
      <w:r w:rsidR="00996361">
        <w:t xml:space="preserve">. </w:t>
      </w:r>
      <w:r w:rsidR="003D093E" w:rsidRPr="003D093E">
        <w:t>Ces cessations toucheront principalement des exploitations de plus grande taille, avec une production moyenne d’environ 350 000 litres par an</w:t>
      </w:r>
      <w:r w:rsidR="008A4789">
        <w:t xml:space="preserve">. </w:t>
      </w:r>
      <w:r w:rsidR="003D093E" w:rsidRPr="003D093E">
        <w:t xml:space="preserve">Les </w:t>
      </w:r>
      <w:proofErr w:type="spellStart"/>
      <w:r w:rsidR="003D093E" w:rsidRPr="003D093E">
        <w:t>déconversions</w:t>
      </w:r>
      <w:proofErr w:type="spellEnd"/>
      <w:r w:rsidR="003D093E" w:rsidRPr="003D093E">
        <w:t xml:space="preserve"> devraient représenter près de 80 % des arrêts, contre seulement la moitié en 2023 et 2024.</w:t>
      </w:r>
    </w:p>
    <w:p w14:paraId="6F3986D9" w14:textId="55BFBE5E" w:rsidR="004A5189" w:rsidRDefault="004A5189">
      <w:r w:rsidRPr="004A5189">
        <w:rPr>
          <w:noProof/>
        </w:rPr>
        <w:drawing>
          <wp:inline distT="0" distB="0" distL="0" distR="0" wp14:anchorId="37F7043A" wp14:editId="7C6AEB10">
            <wp:extent cx="5760720" cy="4123055"/>
            <wp:effectExtent l="0" t="0" r="11430" b="10795"/>
            <wp:docPr id="1015119076" name="Graphique 1">
              <a:extLst xmlns:a="http://schemas.openxmlformats.org/drawingml/2006/main">
                <a:ext uri="{FF2B5EF4-FFF2-40B4-BE49-F238E27FC236}">
                  <a16:creationId xmlns:a16="http://schemas.microsoft.com/office/drawing/2014/main" id="{8F0812D0-21C7-48C0-BB2D-1176BF5134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t xml:space="preserve"> </w:t>
      </w:r>
    </w:p>
    <w:p w14:paraId="4776AE59" w14:textId="77777777" w:rsidR="008A4789" w:rsidRDefault="008A4789"/>
    <w:p w14:paraId="33992134" w14:textId="77777777" w:rsidR="008A4789" w:rsidRDefault="008A4789"/>
    <w:p w14:paraId="2E5999FB" w14:textId="77777777" w:rsidR="008A4789" w:rsidRDefault="008A4789"/>
    <w:p w14:paraId="2B8BF1A8" w14:textId="77777777" w:rsidR="008A4789" w:rsidRDefault="008A4789"/>
    <w:p w14:paraId="68DE7B2A" w14:textId="77777777" w:rsidR="008A4789" w:rsidRDefault="008A4789"/>
    <w:p w14:paraId="256AEFF9" w14:textId="77777777" w:rsidR="008A4789" w:rsidRDefault="008A4789"/>
    <w:p w14:paraId="0D4A7F98" w14:textId="77777777" w:rsidR="008A4789" w:rsidRDefault="008A4789"/>
    <w:p w14:paraId="6CC357AF" w14:textId="77777777" w:rsidR="008A4789" w:rsidRDefault="008A4789"/>
    <w:p w14:paraId="47397469" w14:textId="45E0D824" w:rsidR="008703F0" w:rsidRDefault="008703F0" w:rsidP="00C47458">
      <w:pPr>
        <w:jc w:val="both"/>
      </w:pPr>
      <w:r>
        <w:lastRenderedPageBreak/>
        <w:t xml:space="preserve">Par conséquent, </w:t>
      </w:r>
      <w:r w:rsidR="008101AD">
        <w:t xml:space="preserve">l’offre </w:t>
      </w:r>
      <w:r>
        <w:t>de lait bio devrait continuer de reculer fortement</w:t>
      </w:r>
      <w:r w:rsidR="008101AD">
        <w:t xml:space="preserve"> dans les prochains mois</w:t>
      </w:r>
      <w:r>
        <w:t>.</w:t>
      </w:r>
      <w:r w:rsidR="008101AD">
        <w:t xml:space="preserve"> </w:t>
      </w:r>
      <w:r>
        <w:t xml:space="preserve">A août 2025, </w:t>
      </w:r>
      <w:r w:rsidR="008101AD">
        <w:t>la collecte était en baisse de</w:t>
      </w:r>
      <w:r>
        <w:t xml:space="preserve"> </w:t>
      </w:r>
      <w:r w:rsidR="00AE3C98">
        <w:t>5</w:t>
      </w:r>
      <w:r w:rsidR="008101AD">
        <w:t>% sur un an glissant,</w:t>
      </w:r>
      <w:r w:rsidR="00AE3C98">
        <w:t xml:space="preserve"> à 1</w:t>
      </w:r>
      <w:r w:rsidR="00CC277B">
        <w:t>,</w:t>
      </w:r>
      <w:r w:rsidR="00AE3C98">
        <w:t>13</w:t>
      </w:r>
      <w:r w:rsidR="00CC277B">
        <w:t xml:space="preserve"> milliard</w:t>
      </w:r>
      <w:r w:rsidR="00AE3C98">
        <w:t xml:space="preserve"> de litres</w:t>
      </w:r>
      <w:r w:rsidR="00527028">
        <w:t>, un niveau</w:t>
      </w:r>
      <w:r w:rsidR="00AE3C98">
        <w:t xml:space="preserve"> 13%</w:t>
      </w:r>
      <w:r w:rsidR="00527028">
        <w:t xml:space="preserve"> inférieur</w:t>
      </w:r>
      <w:r w:rsidR="00AE3C98">
        <w:t xml:space="preserve"> </w:t>
      </w:r>
      <w:r w:rsidR="00527028">
        <w:t>à celui du</w:t>
      </w:r>
      <w:r w:rsidR="00AE3C98">
        <w:t xml:space="preserve"> record atteint début </w:t>
      </w:r>
      <w:r w:rsidR="00527028">
        <w:t>2023.</w:t>
      </w:r>
      <w:r w:rsidR="00C7227F">
        <w:t xml:space="preserve"> Au regard des cessations </w:t>
      </w:r>
      <w:r w:rsidR="008479B7">
        <w:t>prévues,</w:t>
      </w:r>
      <w:r w:rsidR="00C7227F">
        <w:t xml:space="preserve"> notre enquête prospective prévoit </w:t>
      </w:r>
      <w:r w:rsidR="00611169">
        <w:t>que la production laitière pourrait s’approcher de la barre du milliard de litre d’ici fin 2026.</w:t>
      </w:r>
      <w:r w:rsidR="008A4789" w:rsidRPr="008A4789">
        <w:rPr>
          <w:color w:val="EE0000"/>
        </w:rPr>
        <w:t xml:space="preserve"> </w:t>
      </w:r>
    </w:p>
    <w:p w14:paraId="236FFDDD" w14:textId="56761C12" w:rsidR="00851929" w:rsidRDefault="008101AD">
      <w:r>
        <w:rPr>
          <w:noProof/>
        </w:rPr>
        <w:drawing>
          <wp:inline distT="0" distB="0" distL="0" distR="0" wp14:anchorId="01F579EF" wp14:editId="79393932">
            <wp:extent cx="5483860" cy="4244274"/>
            <wp:effectExtent l="0" t="0" r="2540" b="4445"/>
            <wp:docPr id="13777300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91330" cy="4250056"/>
                    </a:xfrm>
                    <a:prstGeom prst="rect">
                      <a:avLst/>
                    </a:prstGeom>
                    <a:noFill/>
                  </pic:spPr>
                </pic:pic>
              </a:graphicData>
            </a:graphic>
          </wp:inline>
        </w:drawing>
      </w:r>
    </w:p>
    <w:p w14:paraId="1CB7ECC3" w14:textId="52093270" w:rsidR="00844B92" w:rsidRDefault="00844B92" w:rsidP="00844B92">
      <w:r>
        <w:t>En parallèle, la demande de lait bio repart légèrement à la hausse.</w:t>
      </w:r>
      <w:r w:rsidR="008A4789">
        <w:t xml:space="preserve"> </w:t>
      </w:r>
      <w:r>
        <w:t>Résultat : les fabrications de produits laitiers bio progressent de 3 % sur le début de l’année 2025 — c’est la première hausse depuis quatre ans !</w:t>
      </w:r>
    </w:p>
    <w:p w14:paraId="1165E093" w14:textId="07F1A807" w:rsidR="00016987" w:rsidRDefault="00844B92" w:rsidP="00C47458">
      <w:pPr>
        <w:jc w:val="both"/>
      </w:pPr>
      <w:r>
        <w:lastRenderedPageBreak/>
        <w:t>A part les crèmes et les poudres conditionnées, toutes les autres catégories sont en augmentation cette année.</w:t>
      </w:r>
      <w:r w:rsidR="008A4789">
        <w:t xml:space="preserve"> </w:t>
      </w:r>
      <w:r w:rsidR="00016987">
        <w:rPr>
          <w:noProof/>
        </w:rPr>
        <w:drawing>
          <wp:inline distT="0" distB="0" distL="0" distR="0" wp14:anchorId="20431EB4" wp14:editId="6E249490">
            <wp:extent cx="4833485" cy="3933825"/>
            <wp:effectExtent l="0" t="0" r="5715" b="0"/>
            <wp:docPr id="61821401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2712" cy="3941335"/>
                    </a:xfrm>
                    <a:prstGeom prst="rect">
                      <a:avLst/>
                    </a:prstGeom>
                    <a:noFill/>
                  </pic:spPr>
                </pic:pic>
              </a:graphicData>
            </a:graphic>
          </wp:inline>
        </w:drawing>
      </w:r>
    </w:p>
    <w:p w14:paraId="5C220F15" w14:textId="55B3CF4D" w:rsidR="00016987" w:rsidRDefault="00BD5ECF" w:rsidP="00C47458">
      <w:pPr>
        <w:jc w:val="both"/>
      </w:pPr>
      <w:r w:rsidRPr="00BD5ECF">
        <w:t xml:space="preserve">En 2025, la demande de produits laitiers bio continue de reculer légèrement dans les grandes surfaces. En revanche, elle progresse nettement dans les circuits spécialisés bio, mais aussi en restauration collective, où la part du bio dépasse désormais 10 % des achats de produits laitiers en valeur, portée par la mise en œuvre progressive de la loi </w:t>
      </w:r>
      <w:proofErr w:type="spellStart"/>
      <w:proofErr w:type="gramStart"/>
      <w:r w:rsidR="00C47458" w:rsidRPr="00BD5ECF">
        <w:t>EGAlim</w:t>
      </w:r>
      <w:proofErr w:type="spellEnd"/>
      <w:r w:rsidR="00C47458">
        <w:t>.*</w:t>
      </w:r>
      <w:proofErr w:type="gramEnd"/>
      <w:r w:rsidR="009F7CDF">
        <w:t>**</w:t>
      </w:r>
      <w:r w:rsidR="00C47458">
        <w:t xml:space="preserve"> </w:t>
      </w:r>
      <w:r w:rsidR="004C60F3">
        <w:t xml:space="preserve">si la loi </w:t>
      </w:r>
      <w:r w:rsidR="00CB41C4">
        <w:t>était</w:t>
      </w:r>
      <w:r w:rsidR="004C60F3">
        <w:t xml:space="preserve"> pleinement appliquée, </w:t>
      </w:r>
      <w:r w:rsidR="00CB41C4">
        <w:t xml:space="preserve">et le seuil de 20% de bio atteint par tous les acheteurs, </w:t>
      </w:r>
      <w:r w:rsidR="004C60F3">
        <w:t xml:space="preserve">cela pourrait représenter </w:t>
      </w:r>
      <w:r w:rsidR="00BA1014">
        <w:t>un potentiel de</w:t>
      </w:r>
      <w:r w:rsidR="004C60F3">
        <w:t xml:space="preserve"> 100 millions de litres de lait bio </w:t>
      </w:r>
      <w:r w:rsidR="004C60F3">
        <w:lastRenderedPageBreak/>
        <w:t>supplémentaires absorbés dans les prochaines années.</w:t>
      </w:r>
      <w:r w:rsidR="00851929" w:rsidRPr="00851929">
        <w:rPr>
          <w:noProof/>
        </w:rPr>
        <w:drawing>
          <wp:inline distT="0" distB="0" distL="0" distR="0" wp14:anchorId="7F904CD9" wp14:editId="00620956">
            <wp:extent cx="5760720" cy="3310255"/>
            <wp:effectExtent l="0" t="0" r="0" b="4445"/>
            <wp:docPr id="2012960476" name="Image 1" descr="Une image contenant texte, capture d’écran, Polic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960476" name="Image 1" descr="Une image contenant texte, capture d’écran, Police, ligne&#10;&#10;Le contenu généré par l’IA peut être incorrect."/>
                    <pic:cNvPicPr/>
                  </pic:nvPicPr>
                  <pic:blipFill>
                    <a:blip r:embed="rId11"/>
                    <a:stretch>
                      <a:fillRect/>
                    </a:stretch>
                  </pic:blipFill>
                  <pic:spPr>
                    <a:xfrm>
                      <a:off x="0" y="0"/>
                      <a:ext cx="5760720" cy="3310255"/>
                    </a:xfrm>
                    <a:prstGeom prst="rect">
                      <a:avLst/>
                    </a:prstGeom>
                  </pic:spPr>
                </pic:pic>
              </a:graphicData>
            </a:graphic>
          </wp:inline>
        </w:drawing>
      </w:r>
    </w:p>
    <w:p w14:paraId="1BACC31A" w14:textId="1785CF06" w:rsidR="00776005" w:rsidRDefault="00776005" w:rsidP="00C47458">
      <w:pPr>
        <w:jc w:val="both"/>
      </w:pPr>
      <w:r>
        <w:t xml:space="preserve">En conclusion, la filière bio est en phase de rééquilibrage, mais davantage sous l’effet de la baisse de l’offre que </w:t>
      </w:r>
      <w:r w:rsidR="00CF6021">
        <w:t>du</w:t>
      </w:r>
      <w:r>
        <w:t xml:space="preserve"> rebond de la demande</w:t>
      </w:r>
      <w:r w:rsidR="00CF6021">
        <w:t>, qui reste</w:t>
      </w:r>
      <w:r w:rsidR="00C96B06">
        <w:t xml:space="preserve"> encore</w:t>
      </w:r>
      <w:r w:rsidR="00CF6021">
        <w:t xml:space="preserve"> modéré</w:t>
      </w:r>
      <w:r w:rsidR="009366AE">
        <w:t xml:space="preserve">. </w:t>
      </w:r>
    </w:p>
    <w:p w14:paraId="51B82B43" w14:textId="4193FB1E" w:rsidR="000A7A84" w:rsidRDefault="00C640F7" w:rsidP="00C47458">
      <w:pPr>
        <w:jc w:val="both"/>
      </w:pPr>
      <w:r w:rsidRPr="00C640F7">
        <w:t>La crise risque de laisser des stigmates durables sur les velléités des futurs candidats à la conversion, ce qui pourrait compliquer la reconstitution du potentiel de production en cas de reprise plus marquée de la demande, comme on l’observe actuellement chez nos voisins européens.</w:t>
      </w:r>
    </w:p>
    <w:p w14:paraId="667F0542" w14:textId="0550177C" w:rsidR="008703F0" w:rsidRDefault="008703F0" w:rsidP="00C47458">
      <w:pPr>
        <w:jc w:val="both"/>
      </w:pPr>
    </w:p>
    <w:sectPr w:rsidR="008703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189"/>
    <w:rsid w:val="00016987"/>
    <w:rsid w:val="000A7A84"/>
    <w:rsid w:val="000F342A"/>
    <w:rsid w:val="00161E62"/>
    <w:rsid w:val="001E7981"/>
    <w:rsid w:val="00206C32"/>
    <w:rsid w:val="00261C9F"/>
    <w:rsid w:val="00341BAE"/>
    <w:rsid w:val="00351D38"/>
    <w:rsid w:val="003842E7"/>
    <w:rsid w:val="003B18E5"/>
    <w:rsid w:val="003D093E"/>
    <w:rsid w:val="00414164"/>
    <w:rsid w:val="004A5189"/>
    <w:rsid w:val="004C60F3"/>
    <w:rsid w:val="00527028"/>
    <w:rsid w:val="00545D99"/>
    <w:rsid w:val="00546953"/>
    <w:rsid w:val="00551D88"/>
    <w:rsid w:val="00601396"/>
    <w:rsid w:val="00611169"/>
    <w:rsid w:val="00664CB6"/>
    <w:rsid w:val="00676E5B"/>
    <w:rsid w:val="0068385F"/>
    <w:rsid w:val="00685D93"/>
    <w:rsid w:val="006F0F65"/>
    <w:rsid w:val="007306B9"/>
    <w:rsid w:val="00745EA1"/>
    <w:rsid w:val="00776005"/>
    <w:rsid w:val="007F19DB"/>
    <w:rsid w:val="008066D1"/>
    <w:rsid w:val="008101AD"/>
    <w:rsid w:val="00844B92"/>
    <w:rsid w:val="008479B7"/>
    <w:rsid w:val="00851929"/>
    <w:rsid w:val="008703F0"/>
    <w:rsid w:val="008A44A5"/>
    <w:rsid w:val="008A4789"/>
    <w:rsid w:val="008A4EA1"/>
    <w:rsid w:val="008B2108"/>
    <w:rsid w:val="008B640F"/>
    <w:rsid w:val="008D0B97"/>
    <w:rsid w:val="008E650B"/>
    <w:rsid w:val="008F14F8"/>
    <w:rsid w:val="009006F7"/>
    <w:rsid w:val="009366AE"/>
    <w:rsid w:val="00970AAA"/>
    <w:rsid w:val="00996361"/>
    <w:rsid w:val="009C2890"/>
    <w:rsid w:val="009F7CDF"/>
    <w:rsid w:val="00A00126"/>
    <w:rsid w:val="00AA6DF9"/>
    <w:rsid w:val="00AE3C98"/>
    <w:rsid w:val="00B034B5"/>
    <w:rsid w:val="00B27A70"/>
    <w:rsid w:val="00B30870"/>
    <w:rsid w:val="00B33EE6"/>
    <w:rsid w:val="00B56415"/>
    <w:rsid w:val="00B851FB"/>
    <w:rsid w:val="00BA1014"/>
    <w:rsid w:val="00BB29AD"/>
    <w:rsid w:val="00BD5ECF"/>
    <w:rsid w:val="00C264FA"/>
    <w:rsid w:val="00C47458"/>
    <w:rsid w:val="00C640F7"/>
    <w:rsid w:val="00C7227F"/>
    <w:rsid w:val="00C96B06"/>
    <w:rsid w:val="00CB206E"/>
    <w:rsid w:val="00CB41C4"/>
    <w:rsid w:val="00CC277B"/>
    <w:rsid w:val="00CF3196"/>
    <w:rsid w:val="00CF6021"/>
    <w:rsid w:val="00D26261"/>
    <w:rsid w:val="00D65713"/>
    <w:rsid w:val="00E4459D"/>
    <w:rsid w:val="00E476F0"/>
    <w:rsid w:val="00EB0278"/>
    <w:rsid w:val="00EB567A"/>
    <w:rsid w:val="00EF40C7"/>
    <w:rsid w:val="00F8429F"/>
    <w:rsid w:val="00FC7FA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C95B5"/>
  <w15:chartTrackingRefBased/>
  <w15:docId w15:val="{4C81A588-6F1C-42D9-9743-349E8BDD6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A51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4A51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4A518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4A518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4A518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A518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A518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A518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A518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A518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4A518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4A518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4A518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4A518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A518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A518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A518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A5189"/>
    <w:rPr>
      <w:rFonts w:eastAsiaTheme="majorEastAsia" w:cstheme="majorBidi"/>
      <w:color w:val="272727" w:themeColor="text1" w:themeTint="D8"/>
    </w:rPr>
  </w:style>
  <w:style w:type="paragraph" w:styleId="Titre">
    <w:name w:val="Title"/>
    <w:basedOn w:val="Normal"/>
    <w:next w:val="Normal"/>
    <w:link w:val="TitreCar"/>
    <w:uiPriority w:val="10"/>
    <w:qFormat/>
    <w:rsid w:val="004A51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A518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A518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A518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A5189"/>
    <w:pPr>
      <w:spacing w:before="160"/>
      <w:jc w:val="center"/>
    </w:pPr>
    <w:rPr>
      <w:i/>
      <w:iCs/>
      <w:color w:val="404040" w:themeColor="text1" w:themeTint="BF"/>
    </w:rPr>
  </w:style>
  <w:style w:type="character" w:customStyle="1" w:styleId="CitationCar">
    <w:name w:val="Citation Car"/>
    <w:basedOn w:val="Policepardfaut"/>
    <w:link w:val="Citation"/>
    <w:uiPriority w:val="29"/>
    <w:rsid w:val="004A5189"/>
    <w:rPr>
      <w:i/>
      <w:iCs/>
      <w:color w:val="404040" w:themeColor="text1" w:themeTint="BF"/>
    </w:rPr>
  </w:style>
  <w:style w:type="paragraph" w:styleId="Paragraphedeliste">
    <w:name w:val="List Paragraph"/>
    <w:basedOn w:val="Normal"/>
    <w:uiPriority w:val="34"/>
    <w:qFormat/>
    <w:rsid w:val="004A5189"/>
    <w:pPr>
      <w:ind w:left="720"/>
      <w:contextualSpacing/>
    </w:pPr>
  </w:style>
  <w:style w:type="character" w:styleId="Accentuationintense">
    <w:name w:val="Intense Emphasis"/>
    <w:basedOn w:val="Policepardfaut"/>
    <w:uiPriority w:val="21"/>
    <w:qFormat/>
    <w:rsid w:val="004A5189"/>
    <w:rPr>
      <w:i/>
      <w:iCs/>
      <w:color w:val="0F4761" w:themeColor="accent1" w:themeShade="BF"/>
    </w:rPr>
  </w:style>
  <w:style w:type="paragraph" w:styleId="Citationintense">
    <w:name w:val="Intense Quote"/>
    <w:basedOn w:val="Normal"/>
    <w:next w:val="Normal"/>
    <w:link w:val="CitationintenseCar"/>
    <w:uiPriority w:val="30"/>
    <w:qFormat/>
    <w:rsid w:val="004A51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A5189"/>
    <w:rPr>
      <w:i/>
      <w:iCs/>
      <w:color w:val="0F4761" w:themeColor="accent1" w:themeShade="BF"/>
    </w:rPr>
  </w:style>
  <w:style w:type="character" w:styleId="Rfrenceintense">
    <w:name w:val="Intense Reference"/>
    <w:basedOn w:val="Policepardfaut"/>
    <w:uiPriority w:val="32"/>
    <w:qFormat/>
    <w:rsid w:val="004A518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0" Type="http://schemas.openxmlformats.org/officeDocument/2006/relationships/image" Target="media/image3.png"/><Relationship Id="rId4" Type="http://schemas.openxmlformats.org/officeDocument/2006/relationships/styles" Target="styles.xml"/><Relationship Id="rId9"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a:t>Cessations d'activité </a:t>
            </a:r>
            <a:r>
              <a:rPr lang="fr-FR" baseline="0"/>
              <a:t>prévues à chaque enquête </a:t>
            </a:r>
            <a:r>
              <a:rPr lang="fr-FR" u="sng" baseline="0"/>
              <a:t>pour l'année à venir</a:t>
            </a:r>
            <a:endParaRPr lang="fr-FR" u="sng"/>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manualLayout>
          <c:layoutTarget val="inner"/>
          <c:xMode val="edge"/>
          <c:yMode val="edge"/>
          <c:x val="7.9793544388493579E-2"/>
          <c:y val="0.15366585452093823"/>
          <c:w val="0.83607182262082813"/>
          <c:h val="0.66560621581398938"/>
        </c:manualLayout>
      </c:layout>
      <c:lineChart>
        <c:grouping val="standard"/>
        <c:varyColors val="0"/>
        <c:ser>
          <c:idx val="0"/>
          <c:order val="0"/>
          <c:tx>
            <c:v>Nombre de cessations prévues</c:v>
          </c:tx>
          <c:spPr>
            <a:ln w="28575" cap="rnd">
              <a:solidFill>
                <a:schemeClr val="accent1"/>
              </a:solidFill>
              <a:round/>
            </a:ln>
            <a:effectLst/>
          </c:spPr>
          <c:marker>
            <c:symbol val="square"/>
            <c:size val="5"/>
            <c:spPr>
              <a:solidFill>
                <a:schemeClr val="accent1"/>
              </a:solidFill>
              <a:ln w="9525">
                <a:solidFill>
                  <a:schemeClr val="accent1"/>
                </a:solidFill>
              </a:ln>
              <a:effectLst/>
            </c:spPr>
          </c:marker>
          <c:dLbls>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9AB-4438-83C5-9D51BE62E27D}"/>
                </c:ext>
              </c:extLst>
            </c:dLbl>
            <c:dLbl>
              <c:idx val="5"/>
              <c:layout>
                <c:manualLayout>
                  <c:x val="-5.5421680437718829E-3"/>
                  <c:y val="4.383595687508305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9AB-4438-83C5-9D51BE62E27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070C0"/>
                    </a:solidFill>
                    <a:latin typeface="+mn-lt"/>
                    <a:ea typeface="+mn-ea"/>
                    <a:cs typeface="+mn-cs"/>
                  </a:defRPr>
                </a:pPr>
                <a:endParaRPr lang="fr-FR"/>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Cessations!$C$35:$G$35</c:f>
              <c:strCache>
                <c:ptCount val="5"/>
                <c:pt idx="0">
                  <c:v>Enquête 2021</c:v>
                </c:pt>
                <c:pt idx="1">
                  <c:v>Enquête 2022</c:v>
                </c:pt>
                <c:pt idx="2">
                  <c:v>Enquête 2023</c:v>
                </c:pt>
                <c:pt idx="3">
                  <c:v>Enquête 2024</c:v>
                </c:pt>
                <c:pt idx="4">
                  <c:v>Enquête 2025</c:v>
                </c:pt>
              </c:strCache>
            </c:strRef>
          </c:cat>
          <c:val>
            <c:numRef>
              <c:f>Cessations!$C$69:$G$69</c:f>
              <c:numCache>
                <c:formatCode>0</c:formatCode>
                <c:ptCount val="5"/>
                <c:pt idx="0">
                  <c:v>43.776000000000003</c:v>
                </c:pt>
                <c:pt idx="1">
                  <c:v>92.567999999999998</c:v>
                </c:pt>
                <c:pt idx="2">
                  <c:v>45.1</c:v>
                </c:pt>
                <c:pt idx="3">
                  <c:v>46.8</c:v>
                </c:pt>
                <c:pt idx="4">
                  <c:v>157.92000000000002</c:v>
                </c:pt>
              </c:numCache>
            </c:numRef>
          </c:val>
          <c:smooth val="0"/>
          <c:extLst>
            <c:ext xmlns:c16="http://schemas.microsoft.com/office/drawing/2014/chart" uri="{C3380CC4-5D6E-409C-BE32-E72D297353CC}">
              <c16:uniqueId val="{00000002-A9AB-4438-83C5-9D51BE62E27D}"/>
            </c:ext>
          </c:extLst>
        </c:ser>
        <c:dLbls>
          <c:showLegendKey val="0"/>
          <c:showVal val="0"/>
          <c:showCatName val="0"/>
          <c:showSerName val="0"/>
          <c:showPercent val="0"/>
          <c:showBubbleSize val="0"/>
        </c:dLbls>
        <c:marker val="1"/>
        <c:smooth val="0"/>
        <c:axId val="1043163184"/>
        <c:axId val="1043163904"/>
      </c:lineChart>
      <c:lineChart>
        <c:grouping val="standard"/>
        <c:varyColors val="0"/>
        <c:ser>
          <c:idx val="1"/>
          <c:order val="1"/>
          <c:tx>
            <c:v>Volumes correspondants à ces cessations</c:v>
          </c:tx>
          <c:spPr>
            <a:ln w="57150" cap="rnd">
              <a:solidFill>
                <a:schemeClr val="accent2"/>
              </a:solidFill>
              <a:round/>
            </a:ln>
            <a:effectLst/>
          </c:spPr>
          <c:marker>
            <c:symbol val="square"/>
            <c:size val="5"/>
            <c:spPr>
              <a:solidFill>
                <a:schemeClr val="accent2"/>
              </a:solidFill>
              <a:ln w="9525">
                <a:solidFill>
                  <a:schemeClr val="accent2"/>
                </a:solidFill>
              </a:ln>
              <a:effectLst/>
            </c:spPr>
          </c:marker>
          <c:dLbls>
            <c:dLbl>
              <c:idx val="4"/>
              <c:layout>
                <c:manualLayout>
                  <c:x val="0"/>
                  <c:y val="0"/>
                </c:manualLayout>
              </c:layout>
              <c:tx>
                <c:rich>
                  <a:bodyPr/>
                  <a:lstStyle/>
                  <a:p>
                    <a:r>
                      <a:rPr lang="en-US"/>
                      <a:t>55 Ml</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A9AB-4438-83C5-9D51BE62E27D}"/>
                </c:ext>
              </c:extLst>
            </c:dLbl>
            <c:dLbl>
              <c:idx val="5"/>
              <c:layout>
                <c:manualLayout>
                  <c:x val="-3.0481924240744796E-2"/>
                  <c:y val="-3.5068765500066483E-2"/>
                </c:manualLayout>
              </c:layout>
              <c:tx>
                <c:rich>
                  <a:bodyPr/>
                  <a:lstStyle/>
                  <a:p>
                    <a:fld id="{77FA9129-2D9F-4CE7-923F-A1C6404926D0}" type="VALUE">
                      <a:rPr lang="en-US"/>
                      <a:pPr/>
                      <a:t>[VALEUR]</a:t>
                    </a:fld>
                    <a:r>
                      <a:rPr lang="en-US"/>
                      <a:t> Ml</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A9AB-4438-83C5-9D51BE62E27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C00000"/>
                    </a:solidFill>
                    <a:latin typeface="+mn-lt"/>
                    <a:ea typeface="+mn-ea"/>
                    <a:cs typeface="+mn-cs"/>
                  </a:defRPr>
                </a:pPr>
                <a:endParaRPr lang="fr-FR"/>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Cessations!$C$35:$G$35</c:f>
              <c:strCache>
                <c:ptCount val="5"/>
                <c:pt idx="0">
                  <c:v>Enquête 2021</c:v>
                </c:pt>
                <c:pt idx="1">
                  <c:v>Enquête 2022</c:v>
                </c:pt>
                <c:pt idx="2">
                  <c:v>Enquête 2023</c:v>
                </c:pt>
                <c:pt idx="3">
                  <c:v>Enquête 2024</c:v>
                </c:pt>
                <c:pt idx="4">
                  <c:v>Enquête 2025</c:v>
                </c:pt>
              </c:strCache>
            </c:strRef>
          </c:cat>
          <c:val>
            <c:numRef>
              <c:f>Cessations!$C$70:$G$70</c:f>
              <c:numCache>
                <c:formatCode>#,##0</c:formatCode>
                <c:ptCount val="5"/>
                <c:pt idx="0">
                  <c:v>12178086.912</c:v>
                </c:pt>
                <c:pt idx="1">
                  <c:v>27827122.903999999</c:v>
                </c:pt>
                <c:pt idx="2">
                  <c:v>11613559.100000001</c:v>
                </c:pt>
                <c:pt idx="3">
                  <c:v>12129469.199999999</c:v>
                </c:pt>
                <c:pt idx="4">
                  <c:v>54897851.680000007</c:v>
                </c:pt>
              </c:numCache>
            </c:numRef>
          </c:val>
          <c:smooth val="0"/>
          <c:extLst>
            <c:ext xmlns:c16="http://schemas.microsoft.com/office/drawing/2014/chart" uri="{C3380CC4-5D6E-409C-BE32-E72D297353CC}">
              <c16:uniqueId val="{00000005-A9AB-4438-83C5-9D51BE62E27D}"/>
            </c:ext>
          </c:extLst>
        </c:ser>
        <c:dLbls>
          <c:showLegendKey val="0"/>
          <c:showVal val="0"/>
          <c:showCatName val="0"/>
          <c:showSerName val="0"/>
          <c:showPercent val="0"/>
          <c:showBubbleSize val="0"/>
        </c:dLbls>
        <c:marker val="1"/>
        <c:smooth val="0"/>
        <c:axId val="494747080"/>
        <c:axId val="652920760"/>
      </c:lineChart>
      <c:catAx>
        <c:axId val="104316318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fr-FR"/>
          </a:p>
        </c:txPr>
        <c:crossAx val="1043163904"/>
        <c:crosses val="autoZero"/>
        <c:auto val="1"/>
        <c:lblAlgn val="ctr"/>
        <c:lblOffset val="100"/>
        <c:tickLblSkip val="1"/>
        <c:noMultiLvlLbl val="0"/>
      </c:catAx>
      <c:valAx>
        <c:axId val="1043163904"/>
        <c:scaling>
          <c:orientation val="minMax"/>
          <c:max val="18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solidFill>
                      <a:srgbClr val="0070C0"/>
                    </a:solidFill>
                  </a:rPr>
                  <a:t>Nombre de livreurs</a:t>
                </a:r>
              </a:p>
            </c:rich>
          </c:tx>
          <c:layout>
            <c:manualLayout>
              <c:xMode val="edge"/>
              <c:yMode val="edge"/>
              <c:x val="0"/>
              <c:y val="0.2592976875779051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0" sourceLinked="1"/>
        <c:majorTickMark val="none"/>
        <c:minorTickMark val="none"/>
        <c:tickLblPos val="nextTo"/>
        <c:spPr>
          <a:noFill/>
          <a:ln>
            <a:solidFill>
              <a:srgbClr val="0070C0"/>
            </a:solidFill>
          </a:ln>
          <a:effectLst/>
        </c:spPr>
        <c:txPr>
          <a:bodyPr rot="-60000000" spcFirstLastPara="1" vertOverflow="ellipsis" vert="horz" wrap="square" anchor="ctr" anchorCtr="1"/>
          <a:lstStyle/>
          <a:p>
            <a:pPr>
              <a:defRPr sz="900" b="0" i="0" u="none" strike="noStrike" kern="1200" baseline="0">
                <a:solidFill>
                  <a:srgbClr val="0070C0"/>
                </a:solidFill>
                <a:latin typeface="+mn-lt"/>
                <a:ea typeface="+mn-ea"/>
                <a:cs typeface="+mn-cs"/>
              </a:defRPr>
            </a:pPr>
            <a:endParaRPr lang="fr-FR"/>
          </a:p>
        </c:txPr>
        <c:crossAx val="1043163184"/>
        <c:crosses val="autoZero"/>
        <c:crossBetween val="between"/>
      </c:valAx>
      <c:valAx>
        <c:axId val="652920760"/>
        <c:scaling>
          <c:orientation val="minMax"/>
          <c:max val="55000000"/>
          <c:min val="0"/>
        </c:scaling>
        <c:delete val="0"/>
        <c:axPos val="r"/>
        <c:numFmt formatCode="#,##0" sourceLinked="0"/>
        <c:majorTickMark val="out"/>
        <c:minorTickMark val="none"/>
        <c:tickLblPos val="nextTo"/>
        <c:spPr>
          <a:noFill/>
          <a:ln>
            <a:solidFill>
              <a:srgbClr val="FF0000"/>
            </a:solidFill>
          </a:ln>
          <a:effectLst/>
        </c:spPr>
        <c:txPr>
          <a:bodyPr rot="-60000000" spcFirstLastPara="1" vertOverflow="ellipsis" vert="horz" wrap="square" anchor="ctr" anchorCtr="1"/>
          <a:lstStyle/>
          <a:p>
            <a:pPr>
              <a:defRPr sz="900" b="0" i="0" u="none" strike="noStrike" kern="1200" baseline="0">
                <a:solidFill>
                  <a:srgbClr val="C00000"/>
                </a:solidFill>
                <a:latin typeface="+mn-lt"/>
                <a:ea typeface="+mn-ea"/>
                <a:cs typeface="+mn-cs"/>
              </a:defRPr>
            </a:pPr>
            <a:endParaRPr lang="fr-FR"/>
          </a:p>
        </c:txPr>
        <c:crossAx val="494747080"/>
        <c:crosses val="max"/>
        <c:crossBetween val="between"/>
        <c:dispUnits>
          <c:builtInUnit val="millions"/>
          <c:dispUnitsLbl>
            <c:layout>
              <c:manualLayout>
                <c:xMode val="edge"/>
                <c:yMode val="edge"/>
                <c:x val="0.95199998177107381"/>
                <c:y val="0.30474110438933882"/>
              </c:manualLayout>
            </c:layout>
            <c:tx>
              <c:rich>
                <a:bodyPr rot="-5400000" spcFirstLastPara="1" vertOverflow="ellipsis" vert="horz" wrap="square" anchor="ctr" anchorCtr="1"/>
                <a:lstStyle/>
                <a:p>
                  <a:pPr>
                    <a:defRPr sz="1000" b="0" i="0" u="none" strike="noStrike" kern="1200" baseline="0">
                      <a:solidFill>
                        <a:srgbClr val="C00000"/>
                      </a:solidFill>
                      <a:latin typeface="+mn-lt"/>
                      <a:ea typeface="+mn-ea"/>
                      <a:cs typeface="+mn-cs"/>
                    </a:defRPr>
                  </a:pPr>
                  <a:r>
                    <a:rPr lang="en-US">
                      <a:solidFill>
                        <a:srgbClr val="C00000"/>
                      </a:solidFill>
                    </a:rPr>
                    <a:t>Millions de litres</a:t>
                  </a:r>
                </a:p>
              </c:rich>
            </c:tx>
            <c:spPr>
              <a:noFill/>
              <a:ln>
                <a:noFill/>
              </a:ln>
              <a:effectLst/>
            </c:spPr>
            <c:txPr>
              <a:bodyPr rot="-5400000" spcFirstLastPara="1" vertOverflow="ellipsis" vert="horz" wrap="square" anchor="ctr" anchorCtr="1"/>
              <a:lstStyle/>
              <a:p>
                <a:pPr>
                  <a:defRPr sz="1000" b="0" i="0" u="none" strike="noStrike" kern="1200" baseline="0">
                    <a:solidFill>
                      <a:srgbClr val="C00000"/>
                    </a:solidFill>
                    <a:latin typeface="+mn-lt"/>
                    <a:ea typeface="+mn-ea"/>
                    <a:cs typeface="+mn-cs"/>
                  </a:defRPr>
                </a:pPr>
                <a:endParaRPr lang="fr-FR"/>
              </a:p>
            </c:txPr>
          </c:dispUnitsLbl>
        </c:dispUnits>
      </c:valAx>
      <c:catAx>
        <c:axId val="494747080"/>
        <c:scaling>
          <c:orientation val="minMax"/>
        </c:scaling>
        <c:delete val="1"/>
        <c:axPos val="b"/>
        <c:numFmt formatCode="General" sourceLinked="1"/>
        <c:majorTickMark val="out"/>
        <c:minorTickMark val="none"/>
        <c:tickLblPos val="nextTo"/>
        <c:crossAx val="652920760"/>
        <c:crosses val="autoZero"/>
        <c:auto val="1"/>
        <c:lblAlgn val="ctr"/>
        <c:lblOffset val="100"/>
        <c:noMultiLvlLbl val="0"/>
      </c:catAx>
      <c:spPr>
        <a:noFill/>
        <a:ln>
          <a:noFill/>
        </a:ln>
        <a:effectLst/>
      </c:spPr>
    </c:plotArea>
    <c:legend>
      <c:legendPos val="b"/>
      <c:layout>
        <c:manualLayout>
          <c:xMode val="edge"/>
          <c:yMode val="edge"/>
          <c:x val="0"/>
          <c:y val="0.88808605059623202"/>
          <c:w val="0.91836418457662128"/>
          <c:h val="0.11191394940376792"/>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5ba07e4-a149-48da-aa2c-afd7e7bb7ec7">
      <Terms xmlns="http://schemas.microsoft.com/office/infopath/2007/PartnerControls"/>
    </lcf76f155ced4ddcb4097134ff3c332f>
    <TaxCatchAll xmlns="a790f846-ba42-4696-a21f-2318fbf090e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4CE21986B8B6745AA449E356F666958" ma:contentTypeVersion="15" ma:contentTypeDescription="Crée un document." ma:contentTypeScope="" ma:versionID="3081d28d128fd8c1109b1e2f588de1c9">
  <xsd:schema xmlns:xsd="http://www.w3.org/2001/XMLSchema" xmlns:xs="http://www.w3.org/2001/XMLSchema" xmlns:p="http://schemas.microsoft.com/office/2006/metadata/properties" xmlns:ns2="05ba07e4-a149-48da-aa2c-afd7e7bb7ec7" xmlns:ns3="a790f846-ba42-4696-a21f-2318fbf090e3" targetNamespace="http://schemas.microsoft.com/office/2006/metadata/properties" ma:root="true" ma:fieldsID="10181b5d4079b0365d65bb982cf029f8" ns2:_="" ns3:_="">
    <xsd:import namespace="05ba07e4-a149-48da-aa2c-afd7e7bb7ec7"/>
    <xsd:import namespace="a790f846-ba42-4696-a21f-2318fbf090e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a07e4-a149-48da-aa2c-afd7e7bb7e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alises d’images" ma:readOnly="false" ma:fieldId="{5cf76f15-5ced-4ddc-b409-7134ff3c332f}" ma:taxonomyMulti="true" ma:sspId="bbea35d9-b648-4808-a985-bf655b8e4f7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90f846-ba42-4696-a21f-2318fbf090e3" elementFormDefault="qualified">
    <xsd:import namespace="http://schemas.microsoft.com/office/2006/documentManagement/types"/>
    <xsd:import namespace="http://schemas.microsoft.com/office/infopath/2007/PartnerControls"/>
    <xsd:element name="SharedWithUsers" ma:index="1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Partagé avec détails" ma:internalName="SharedWithDetails" ma:readOnly="true">
      <xsd:simpleType>
        <xsd:restriction base="dms:Note">
          <xsd:maxLength value="255"/>
        </xsd:restriction>
      </xsd:simpleType>
    </xsd:element>
    <xsd:element name="TaxCatchAll" ma:index="20" nillable="true" ma:displayName="Colonne Attraper tout de Taxonomie" ma:hidden="true" ma:list="{50639cc3-1c25-477a-aa3a-05434c196bc4}" ma:internalName="TaxCatchAll" ma:showField="CatchAllData" ma:web="a790f846-ba42-4696-a21f-2318fbf090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0106D7-046F-461F-8616-508F85909CEB}">
  <ds:schemaRefs>
    <ds:schemaRef ds:uri="http://schemas.microsoft.com/sharepoint/v3/contenttype/forms"/>
  </ds:schemaRefs>
</ds:datastoreItem>
</file>

<file path=customXml/itemProps2.xml><?xml version="1.0" encoding="utf-8"?>
<ds:datastoreItem xmlns:ds="http://schemas.openxmlformats.org/officeDocument/2006/customXml" ds:itemID="{9EC3A360-9162-48A2-874C-187F01F2F2E8}">
  <ds:schemaRefs>
    <ds:schemaRef ds:uri="http://schemas.microsoft.com/office/2006/metadata/properties"/>
    <ds:schemaRef ds:uri="http://schemas.microsoft.com/office/infopath/2007/PartnerControls"/>
    <ds:schemaRef ds:uri="05ba07e4-a149-48da-aa2c-afd7e7bb7ec7"/>
    <ds:schemaRef ds:uri="a790f846-ba42-4696-a21f-2318fbf090e3"/>
  </ds:schemaRefs>
</ds:datastoreItem>
</file>

<file path=customXml/itemProps3.xml><?xml version="1.0" encoding="utf-8"?>
<ds:datastoreItem xmlns:ds="http://schemas.openxmlformats.org/officeDocument/2006/customXml" ds:itemID="{0230D335-177A-419B-866C-9AE452ADC1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ba07e4-a149-48da-aa2c-afd7e7bb7ec7"/>
    <ds:schemaRef ds:uri="a790f846-ba42-4696-a21f-2318fbf090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490</Words>
  <Characters>2697</Characters>
  <Application>Microsoft Office Word</Application>
  <DocSecurity>4</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PUVILLAND Corentin</dc:creator>
  <cp:keywords/>
  <dc:description/>
  <cp:lastModifiedBy>GROS Béatrice</cp:lastModifiedBy>
  <cp:revision>2</cp:revision>
  <cp:lastPrinted>2025-10-23T08:22:00Z</cp:lastPrinted>
  <dcterms:created xsi:type="dcterms:W3CDTF">2025-10-31T14:31:00Z</dcterms:created>
  <dcterms:modified xsi:type="dcterms:W3CDTF">2025-10-31T14:31:00Z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0x010100B4CE21986B8B6745AA449E356F666958</vt:lpwstr>
  </property>
</Properties>
</file>