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8508" w14:textId="77777777" w:rsidR="00173493" w:rsidRDefault="00173493" w:rsidP="00787F44">
      <w:pPr>
        <w:jc w:val="both"/>
      </w:pPr>
      <w:bookmarkStart w:id="0" w:name="_Hlk67572388"/>
      <w:bookmarkStart w:id="1" w:name="_Hlk33538514"/>
      <w:bookmarkStart w:id="2" w:name="_Hlk521397545"/>
      <w:bookmarkStart w:id="3" w:name="_Hlk521397512"/>
    </w:p>
    <w:p w14:paraId="5355A1B0" w14:textId="37451AB4" w:rsidR="00173493" w:rsidRPr="00173493" w:rsidRDefault="00645AE4" w:rsidP="00787F44">
      <w:pPr>
        <w:jc w:val="both"/>
        <w:rPr>
          <w:b/>
          <w:bCs/>
        </w:rPr>
      </w:pPr>
      <w:r>
        <w:rPr>
          <w:b/>
          <w:bCs/>
        </w:rPr>
        <w:t xml:space="preserve">La production laitière marque le pas en Europe et en France </w:t>
      </w:r>
      <w:r w:rsidR="008F5920">
        <w:rPr>
          <w:b/>
          <w:bCs/>
        </w:rPr>
        <w:t>!</w:t>
      </w:r>
    </w:p>
    <w:p w14:paraId="72B4C567" w14:textId="7672AADF" w:rsidR="0023170E" w:rsidRDefault="00685279" w:rsidP="00787F44">
      <w:pPr>
        <w:jc w:val="both"/>
      </w:pPr>
      <w:r>
        <w:t xml:space="preserve">Après une </w:t>
      </w:r>
      <w:r w:rsidR="00F15E2E">
        <w:t>période de hausse</w:t>
      </w:r>
      <w:r>
        <w:t xml:space="preserve"> sur </w:t>
      </w:r>
      <w:r w:rsidR="00E33CD5">
        <w:t>le début de l’année</w:t>
      </w:r>
      <w:r>
        <w:t xml:space="preserve"> 2021, l</w:t>
      </w:r>
      <w:r w:rsidR="0023170E">
        <w:t xml:space="preserve">es prix des produits laitiers industriels </w:t>
      </w:r>
      <w:r w:rsidR="001C5C3F">
        <w:t>(cf. graphe ci-dessous)</w:t>
      </w:r>
      <w:r>
        <w:t xml:space="preserve"> marquent le pas</w:t>
      </w:r>
      <w:r w:rsidR="001C5C3F">
        <w:t xml:space="preserve">. </w:t>
      </w:r>
      <w:r w:rsidR="0023170E">
        <w:t xml:space="preserve">Les cours du beurre en France </w:t>
      </w:r>
      <w:r>
        <w:t xml:space="preserve">se stabilisent depuis </w:t>
      </w:r>
      <w:r w:rsidR="00794D5C">
        <w:t>4</w:t>
      </w:r>
      <w:r>
        <w:t xml:space="preserve"> mois </w:t>
      </w:r>
      <w:r w:rsidR="0023170E">
        <w:t xml:space="preserve">autour de </w:t>
      </w:r>
      <w:r w:rsidR="004A0E33">
        <w:t>4</w:t>
      </w:r>
      <w:r w:rsidR="0023170E">
        <w:t xml:space="preserve"> </w:t>
      </w:r>
      <w:r w:rsidR="004A0E33">
        <w:t>0</w:t>
      </w:r>
      <w:r w:rsidR="0023170E">
        <w:t>00 €</w:t>
      </w:r>
      <w:r w:rsidR="00F15E2E">
        <w:t xml:space="preserve"> la tonne</w:t>
      </w:r>
      <w:r w:rsidR="0023170E">
        <w:t xml:space="preserve">. De son côté, le prix de la poudre de lait écrémé </w:t>
      </w:r>
      <w:r w:rsidR="00794D5C">
        <w:t xml:space="preserve">oscille </w:t>
      </w:r>
      <w:r w:rsidR="00FE74A8">
        <w:t xml:space="preserve">depuis plusieurs semaines </w:t>
      </w:r>
      <w:r w:rsidR="00794D5C">
        <w:t xml:space="preserve">autour de </w:t>
      </w:r>
      <w:r w:rsidR="0023170E">
        <w:t>2</w:t>
      </w:r>
      <w:r w:rsidR="00526ADD">
        <w:rPr>
          <w:rFonts w:cstheme="minorHAnsi"/>
        </w:rPr>
        <w:t> </w:t>
      </w:r>
      <w:r>
        <w:rPr>
          <w:rFonts w:cstheme="minorHAnsi"/>
        </w:rPr>
        <w:t>5</w:t>
      </w:r>
      <w:r w:rsidR="0023170E">
        <w:t>00 € la tonne.</w:t>
      </w:r>
    </w:p>
    <w:bookmarkEnd w:id="0"/>
    <w:p w14:paraId="22B55DA3" w14:textId="07E66752" w:rsidR="0023170E" w:rsidRDefault="00794D5C" w:rsidP="0023170E">
      <w:pPr>
        <w:jc w:val="center"/>
      </w:pPr>
      <w:r w:rsidRPr="00794D5C">
        <w:rPr>
          <w:noProof/>
        </w:rPr>
        <w:drawing>
          <wp:inline distT="0" distB="0" distL="0" distR="0" wp14:anchorId="7B1BFA5A" wp14:editId="56AD438A">
            <wp:extent cx="5760720" cy="27260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2EBA" w14:textId="77777777" w:rsidR="00794D5C" w:rsidRDefault="00794D5C" w:rsidP="008A42DF">
      <w:pPr>
        <w:jc w:val="both"/>
      </w:pPr>
      <w:bookmarkStart w:id="4" w:name="_Hlk67572442"/>
    </w:p>
    <w:p w14:paraId="03898130" w14:textId="1EF66F39" w:rsidR="008A42DF" w:rsidRPr="006F1BA7" w:rsidRDefault="00794D5C" w:rsidP="008A42DF">
      <w:pPr>
        <w:jc w:val="both"/>
      </w:pPr>
      <w:r>
        <w:t>Les tendances d’évolution de la production dans les grands bassins exportateurs mondiaux sont assez hétérogènes</w:t>
      </w:r>
      <w:r w:rsidR="00867647">
        <w:t xml:space="preserve"> (cf</w:t>
      </w:r>
      <w:r>
        <w:t>.</w:t>
      </w:r>
      <w:r w:rsidR="00867647">
        <w:t xml:space="preserve"> graphique ci-dessous).</w:t>
      </w:r>
      <w:r>
        <w:t xml:space="preserve"> </w:t>
      </w:r>
      <w:r w:rsidR="00867647">
        <w:t>Si la collecte progresse assez nettement en Nouvelle-Zélande et aux Etats-Unis, elle s’avère</w:t>
      </w:r>
      <w:r w:rsidR="00FE74A8">
        <w:t>, en revanche,</w:t>
      </w:r>
      <w:r w:rsidR="00867647">
        <w:t xml:space="preserve"> beaucoup moins dynamique au sein de l’UE</w:t>
      </w:r>
      <w:r w:rsidR="00142F1D">
        <w:t>, avec une croissance de seulement 0,5% en cumul sur les 12 derniers mois, et de nouveau une légère baisse de 0,7% sur le mois de juillet</w:t>
      </w:r>
      <w:r w:rsidR="00FE74A8">
        <w:t xml:space="preserve"> 2021</w:t>
      </w:r>
      <w:r w:rsidR="00142F1D">
        <w:t xml:space="preserve">.  </w:t>
      </w:r>
    </w:p>
    <w:bookmarkEnd w:id="4"/>
    <w:p w14:paraId="4A54D217" w14:textId="0D8C0488" w:rsidR="008A42DF" w:rsidRDefault="00142F1D" w:rsidP="0023170E">
      <w:pPr>
        <w:jc w:val="center"/>
      </w:pPr>
      <w:r w:rsidRPr="00142F1D">
        <w:rPr>
          <w:noProof/>
        </w:rPr>
        <w:drawing>
          <wp:inline distT="0" distB="0" distL="0" distR="0" wp14:anchorId="3625B5F4" wp14:editId="0E031CC5">
            <wp:extent cx="5760720" cy="276669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901A8" w14:textId="74573F9E" w:rsidR="00E851EE" w:rsidRDefault="00142F1D" w:rsidP="00787F44">
      <w:pPr>
        <w:jc w:val="both"/>
      </w:pPr>
      <w:bookmarkStart w:id="5" w:name="_Hlk75417972"/>
      <w:bookmarkStart w:id="6" w:name="_Hlk52174946"/>
      <w:r>
        <w:lastRenderedPageBreak/>
        <w:t xml:space="preserve">En France, la production laitière </w:t>
      </w:r>
      <w:r w:rsidR="001835FB">
        <w:t>présente une évolution sensiblement différente de celle de l’année précédente (cf. graphique). Après un recul assez marqué sur les premiers mois</w:t>
      </w:r>
      <w:r w:rsidR="00FE74A8">
        <w:t xml:space="preserve"> de 2021</w:t>
      </w:r>
      <w:r w:rsidR="001835FB">
        <w:t xml:space="preserve">, puis une reprise en fin de printemps, la collecte </w:t>
      </w:r>
      <w:r>
        <w:t xml:space="preserve">a été </w:t>
      </w:r>
      <w:r w:rsidR="001835FB">
        <w:t xml:space="preserve">de nouveau </w:t>
      </w:r>
      <w:r>
        <w:t xml:space="preserve">en recul </w:t>
      </w:r>
      <w:r w:rsidR="00FE74A8">
        <w:t xml:space="preserve">sur la période </w:t>
      </w:r>
      <w:r>
        <w:t>de juin à mi-août</w:t>
      </w:r>
      <w:r w:rsidR="001835FB">
        <w:t>.</w:t>
      </w:r>
      <w:r>
        <w:t xml:space="preserve"> </w:t>
      </w:r>
      <w:r w:rsidR="001835FB">
        <w:t xml:space="preserve">Elle tend néanmoins à </w:t>
      </w:r>
      <w:proofErr w:type="gramStart"/>
      <w:r w:rsidR="001835FB">
        <w:t>suivre</w:t>
      </w:r>
      <w:r w:rsidR="00FE74A8">
        <w:t xml:space="preserve"> </w:t>
      </w:r>
      <w:r w:rsidR="001835FB">
        <w:t xml:space="preserve"> le</w:t>
      </w:r>
      <w:proofErr w:type="gramEnd"/>
      <w:r w:rsidR="001835FB">
        <w:t xml:space="preserve"> profil d’évolution de l’année précédente d</w:t>
      </w:r>
      <w:r>
        <w:t xml:space="preserve">epuis </w:t>
      </w:r>
      <w:r w:rsidR="001835FB">
        <w:t>la fin du mois d’août.</w:t>
      </w:r>
    </w:p>
    <w:bookmarkEnd w:id="5"/>
    <w:p w14:paraId="367D8A52" w14:textId="3E7B7BA2" w:rsidR="008A42DF" w:rsidRDefault="00142F1D" w:rsidP="008A42DF">
      <w:pPr>
        <w:jc w:val="center"/>
      </w:pPr>
      <w:r w:rsidRPr="00142F1D">
        <w:rPr>
          <w:noProof/>
        </w:rPr>
        <w:drawing>
          <wp:inline distT="0" distB="0" distL="0" distR="0" wp14:anchorId="0ACD21A3" wp14:editId="6E13739C">
            <wp:extent cx="5274000" cy="3438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4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B4007D5" w:rsidR="00000306" w:rsidRDefault="00000306" w:rsidP="00000306">
      <w:pPr>
        <w:jc w:val="both"/>
      </w:pPr>
      <w:bookmarkStart w:id="7" w:name="_Hlk67572558"/>
      <w:bookmarkEnd w:id="6"/>
      <w:r>
        <w:t xml:space="preserve">Le prix unitaire des charges dans les élevages laitiers augmente de nouveau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716FF4">
        <w:t>8</w:t>
      </w:r>
      <w:r>
        <w:t xml:space="preserve">% en l’espace d’un an. Deux postes ont </w:t>
      </w:r>
      <w:r w:rsidR="00FF3B87">
        <w:t xml:space="preserve">fortement </w:t>
      </w:r>
      <w:r w:rsidR="00874D7E">
        <w:t xml:space="preserve">augmenté </w:t>
      </w:r>
      <w:r w:rsidR="00FF3B87">
        <w:t>au cours des derniers mois</w:t>
      </w:r>
      <w:r>
        <w:t> : d’une part l’énergie et les lubrifiants, d’autre part les aliments achetés.</w:t>
      </w:r>
    </w:p>
    <w:bookmarkEnd w:id="7"/>
    <w:p w14:paraId="6B358B7B" w14:textId="759B2F91" w:rsidR="00000306" w:rsidRDefault="00645AE4" w:rsidP="00137F9C">
      <w:pPr>
        <w:jc w:val="center"/>
      </w:pPr>
      <w:r w:rsidRPr="00645AE4">
        <w:rPr>
          <w:noProof/>
        </w:rPr>
        <w:drawing>
          <wp:inline distT="0" distB="0" distL="0" distR="0" wp14:anchorId="20E631F8" wp14:editId="7B472C97">
            <wp:extent cx="5349600" cy="3240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36D7B96" w:rsidR="00F029A5" w:rsidRDefault="00F029A5" w:rsidP="00F029A5">
      <w:pPr>
        <w:jc w:val="both"/>
      </w:pPr>
      <w:bookmarkStart w:id="8" w:name="_Hlk52175163"/>
      <w:r>
        <w:lastRenderedPageBreak/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645AE4">
        <w:t>42</w:t>
      </w:r>
      <w:r>
        <w:t> € les mille litres</w:t>
      </w:r>
      <w:r w:rsidR="00C17CCA">
        <w:t xml:space="preserve"> sur l</w:t>
      </w:r>
      <w:r w:rsidR="00153B67">
        <w:t>e mois d</w:t>
      </w:r>
      <w:r w:rsidR="00716FF4">
        <w:t>e</w:t>
      </w:r>
      <w:r w:rsidR="00645AE4">
        <w:t xml:space="preserve"> juin</w:t>
      </w:r>
      <w:r w:rsidR="00153B67">
        <w:t xml:space="preserve"> 2021</w:t>
      </w:r>
      <w:r>
        <w:t xml:space="preserve">. Il se situe </w:t>
      </w:r>
      <w:r w:rsidR="00645AE4">
        <w:t>20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53B67">
        <w:t>d</w:t>
      </w:r>
      <w:r w:rsidR="00716FF4">
        <w:t xml:space="preserve">e </w:t>
      </w:r>
      <w:r w:rsidR="00645AE4">
        <w:t>juin</w:t>
      </w:r>
      <w:r w:rsidR="00153B67">
        <w:t xml:space="preserve"> 2020</w:t>
      </w:r>
      <w:r>
        <w:t xml:space="preserve">. </w:t>
      </w:r>
    </w:p>
    <w:p w14:paraId="12BA680F" w14:textId="3860C5F2" w:rsidR="00012AFB" w:rsidRDefault="00645AE4" w:rsidP="00012AFB">
      <w:pPr>
        <w:jc w:val="center"/>
      </w:pPr>
      <w:bookmarkStart w:id="9" w:name="_Hlk52175226"/>
      <w:bookmarkEnd w:id="8"/>
      <w:r w:rsidRPr="00645AE4">
        <w:rPr>
          <w:noProof/>
        </w:rPr>
        <w:drawing>
          <wp:inline distT="0" distB="0" distL="0" distR="0" wp14:anchorId="108AF8CC" wp14:editId="2503C55E">
            <wp:extent cx="5760720" cy="38500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08AE" w14:textId="523084FC" w:rsidR="00C45156" w:rsidRDefault="006F6F7D" w:rsidP="00DA2103">
      <w:pPr>
        <w:jc w:val="both"/>
      </w:pPr>
      <w:bookmarkStart w:id="10" w:name="_Hlk67572668"/>
      <w:bookmarkStart w:id="11" w:name="_Hlk72996238"/>
      <w:r>
        <w:t>En guise de conclusion, la</w:t>
      </w:r>
      <w:r w:rsidR="00173493">
        <w:t xml:space="preserve"> conjoncture présente un profil mitigé. </w:t>
      </w:r>
      <w:r w:rsidR="005A78B0">
        <w:t>L</w:t>
      </w:r>
      <w:r w:rsidR="006F1C40">
        <w:t xml:space="preserve">es perspectives d’offre et de demande s’avèrent relativement équilibrées, laissant augurer </w:t>
      </w:r>
      <w:r w:rsidR="00C03E63">
        <w:t xml:space="preserve">des </w:t>
      </w:r>
      <w:r w:rsidR="006F1C40">
        <w:t>variation</w:t>
      </w:r>
      <w:r w:rsidR="00C03E63">
        <w:t>s modérées</w:t>
      </w:r>
      <w:r w:rsidR="006F1C40">
        <w:t xml:space="preserve"> d</w:t>
      </w:r>
      <w:r w:rsidR="00C03E63">
        <w:t>u</w:t>
      </w:r>
      <w:r w:rsidR="006F1C40">
        <w:t xml:space="preserve"> </w:t>
      </w:r>
      <w:r w:rsidR="005A78B0">
        <w:t>prix des produits laitiers industriels</w:t>
      </w:r>
      <w:r w:rsidR="006F1C40">
        <w:t xml:space="preserve"> au cours des prochains mois</w:t>
      </w:r>
      <w:r w:rsidR="005A78B0">
        <w:t xml:space="preserve">. En revanche, </w:t>
      </w:r>
      <w:bookmarkEnd w:id="1"/>
      <w:bookmarkEnd w:id="2"/>
      <w:bookmarkEnd w:id="3"/>
      <w:bookmarkEnd w:id="9"/>
      <w:bookmarkEnd w:id="10"/>
      <w:r w:rsidR="00173493">
        <w:t xml:space="preserve">le coût des intrants augmente de façon </w:t>
      </w:r>
      <w:r w:rsidR="00CD704E">
        <w:t>importante</w:t>
      </w:r>
      <w:bookmarkEnd w:id="11"/>
      <w:r w:rsidR="005A78B0">
        <w:t>, mettant sous pression les exploitations laitières.</w:t>
      </w:r>
    </w:p>
    <w:sectPr w:rsidR="00C4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2A3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B0C8E"/>
    <w:rsid w:val="000B125D"/>
    <w:rsid w:val="000B23E0"/>
    <w:rsid w:val="000B34D6"/>
    <w:rsid w:val="000B403B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43C8"/>
    <w:rsid w:val="00131A04"/>
    <w:rsid w:val="0013551F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35FB"/>
    <w:rsid w:val="001862BE"/>
    <w:rsid w:val="00190F80"/>
    <w:rsid w:val="001939EB"/>
    <w:rsid w:val="0019479E"/>
    <w:rsid w:val="001950DC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79DB"/>
    <w:rsid w:val="00297CF7"/>
    <w:rsid w:val="002A0B59"/>
    <w:rsid w:val="002A0B66"/>
    <w:rsid w:val="002A3DFE"/>
    <w:rsid w:val="002B4F64"/>
    <w:rsid w:val="002B5F5D"/>
    <w:rsid w:val="002B6B82"/>
    <w:rsid w:val="002B6B8F"/>
    <w:rsid w:val="002C2AD6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595B"/>
    <w:rsid w:val="0031766A"/>
    <w:rsid w:val="00317715"/>
    <w:rsid w:val="00317C5F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227E"/>
    <w:rsid w:val="0036602F"/>
    <w:rsid w:val="00372A60"/>
    <w:rsid w:val="00372C11"/>
    <w:rsid w:val="00373ADD"/>
    <w:rsid w:val="00374274"/>
    <w:rsid w:val="00374F0D"/>
    <w:rsid w:val="003752C5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57A20"/>
    <w:rsid w:val="00462686"/>
    <w:rsid w:val="00462FA1"/>
    <w:rsid w:val="004644EE"/>
    <w:rsid w:val="0046536F"/>
    <w:rsid w:val="00467ED6"/>
    <w:rsid w:val="004737A8"/>
    <w:rsid w:val="004813B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CD7"/>
    <w:rsid w:val="005C4819"/>
    <w:rsid w:val="005C4DBD"/>
    <w:rsid w:val="005C6A30"/>
    <w:rsid w:val="005D052A"/>
    <w:rsid w:val="005D220D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79A8"/>
    <w:rsid w:val="006002F5"/>
    <w:rsid w:val="00600D19"/>
    <w:rsid w:val="00601B75"/>
    <w:rsid w:val="00603F29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FE5"/>
    <w:rsid w:val="006F1BA7"/>
    <w:rsid w:val="006F1C40"/>
    <w:rsid w:val="006F1E27"/>
    <w:rsid w:val="006F5D47"/>
    <w:rsid w:val="006F67A7"/>
    <w:rsid w:val="006F6F7D"/>
    <w:rsid w:val="00705EC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763C7"/>
    <w:rsid w:val="00777758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E06"/>
    <w:rsid w:val="007F509A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5500"/>
    <w:rsid w:val="0081717C"/>
    <w:rsid w:val="008175F5"/>
    <w:rsid w:val="008212D6"/>
    <w:rsid w:val="00826B5B"/>
    <w:rsid w:val="00831929"/>
    <w:rsid w:val="008419E7"/>
    <w:rsid w:val="00843215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4D7E"/>
    <w:rsid w:val="008775C6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D22"/>
    <w:rsid w:val="008E1208"/>
    <w:rsid w:val="008E18B9"/>
    <w:rsid w:val="008E59CB"/>
    <w:rsid w:val="008E64EF"/>
    <w:rsid w:val="008E6515"/>
    <w:rsid w:val="008F249B"/>
    <w:rsid w:val="008F3EC4"/>
    <w:rsid w:val="008F4688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3C9F"/>
    <w:rsid w:val="00923EBA"/>
    <w:rsid w:val="00927072"/>
    <w:rsid w:val="00932262"/>
    <w:rsid w:val="00935723"/>
    <w:rsid w:val="00936FA0"/>
    <w:rsid w:val="00937E14"/>
    <w:rsid w:val="0094245D"/>
    <w:rsid w:val="0094450B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4C9"/>
    <w:rsid w:val="00AA142F"/>
    <w:rsid w:val="00AA17DA"/>
    <w:rsid w:val="00AA4F4E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3211"/>
    <w:rsid w:val="00BD76C7"/>
    <w:rsid w:val="00BE154B"/>
    <w:rsid w:val="00BE21C9"/>
    <w:rsid w:val="00BE35DB"/>
    <w:rsid w:val="00BE456B"/>
    <w:rsid w:val="00BE6763"/>
    <w:rsid w:val="00BE6B06"/>
    <w:rsid w:val="00BE77EA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7B69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5829"/>
    <w:rsid w:val="00D4068B"/>
    <w:rsid w:val="00D4108B"/>
    <w:rsid w:val="00D4166A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8C8"/>
    <w:rsid w:val="00DC44FF"/>
    <w:rsid w:val="00DC5541"/>
    <w:rsid w:val="00DC76FA"/>
    <w:rsid w:val="00DD2544"/>
    <w:rsid w:val="00DD2C93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3CD5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C7B3C"/>
    <w:rsid w:val="00ED2A5F"/>
    <w:rsid w:val="00ED4869"/>
    <w:rsid w:val="00ED543E"/>
    <w:rsid w:val="00EE1969"/>
    <w:rsid w:val="00EE2231"/>
    <w:rsid w:val="00EE2F26"/>
    <w:rsid w:val="00EF0137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508"/>
    <w:rsid w:val="00F121F4"/>
    <w:rsid w:val="00F12785"/>
    <w:rsid w:val="00F13425"/>
    <w:rsid w:val="00F1481C"/>
    <w:rsid w:val="00F1508E"/>
    <w:rsid w:val="00F15E2E"/>
    <w:rsid w:val="00F165EA"/>
    <w:rsid w:val="00F213D7"/>
    <w:rsid w:val="00F219AA"/>
    <w:rsid w:val="00F24DD9"/>
    <w:rsid w:val="00F26512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7BE6"/>
    <w:rsid w:val="00FE0AA2"/>
    <w:rsid w:val="00FE1B83"/>
    <w:rsid w:val="00FE2D69"/>
    <w:rsid w:val="00FE74A8"/>
    <w:rsid w:val="00FF35A3"/>
    <w:rsid w:val="00FF3B87"/>
    <w:rsid w:val="00FF3CA6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D1F5A303-E164-4942-B3E5-E1CCCF4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ROUYER Benoît</dc:creator>
  <cp:lastModifiedBy>GROS Béatrice</cp:lastModifiedBy>
  <cp:revision>2</cp:revision>
  <cp:lastPrinted>2021-03-25T12:41:00Z</cp:lastPrinted>
  <dcterms:created xsi:type="dcterms:W3CDTF">2021-09-22T14:54:00Z</dcterms:created>
  <dcterms:modified xsi:type="dcterms:W3CDTF">2021-09-22T14:54:00Z</dcterms:modified>
</cp:coreProperties>
</file>