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89859" w14:textId="64E9EB54" w:rsidR="008D05AC" w:rsidRDefault="008D05AC"/>
    <w:p w14:paraId="3D230CBB" w14:textId="53C06AE7" w:rsidR="00F94755" w:rsidRPr="003101A1" w:rsidRDefault="00F94755" w:rsidP="00FE1A59">
      <w:r w:rsidRPr="00FE4C4E">
        <w:t>Après plusieurs années de forte croissance, la collecte de lait bio</w:t>
      </w:r>
      <w:r w:rsidR="006F6A3C" w:rsidRPr="00FE4C4E">
        <w:t xml:space="preserve"> en France</w:t>
      </w:r>
      <w:r w:rsidRPr="00FE4C4E">
        <w:t xml:space="preserve"> a </w:t>
      </w:r>
      <w:r w:rsidR="00E90FA9" w:rsidRPr="00FE4C4E">
        <w:t>augmenté</w:t>
      </w:r>
      <w:r w:rsidRPr="00FE4C4E">
        <w:t xml:space="preserve"> plus </w:t>
      </w:r>
      <w:r w:rsidR="00E90FA9" w:rsidRPr="00FE4C4E">
        <w:t>lentement</w:t>
      </w:r>
      <w:r w:rsidRPr="00FE4C4E">
        <w:t xml:space="preserve"> en 2022, de +2,7%</w:t>
      </w:r>
      <w:r w:rsidR="00E90FA9" w:rsidRPr="00FE4C4E">
        <w:t xml:space="preserve"> par rapport à 2021</w:t>
      </w:r>
      <w:r w:rsidRPr="00FE4C4E">
        <w:t xml:space="preserve">. </w:t>
      </w:r>
      <w:r w:rsidR="00E90FA9" w:rsidRPr="00FE4C4E">
        <w:t xml:space="preserve">Ce ralentissement se confirme sur le début d’année </w:t>
      </w:r>
      <w:r w:rsidR="003101A1" w:rsidRPr="00FE4C4E">
        <w:t>2023 :</w:t>
      </w:r>
      <w:r w:rsidR="00E90FA9" w:rsidRPr="00FE4C4E">
        <w:t xml:space="preserve"> sur les deux premiers mois, </w:t>
      </w:r>
      <w:r w:rsidR="00C842B6" w:rsidRPr="00FE4C4E">
        <w:t>les livraisons n’ont crû</w:t>
      </w:r>
      <w:r w:rsidR="00E90FA9" w:rsidRPr="00FE4C4E">
        <w:t xml:space="preserve"> que de 0,7% par rapport à 2022.</w:t>
      </w:r>
      <w:r w:rsidR="00712067" w:rsidRPr="00FE4C4E">
        <w:t xml:space="preserve"> </w:t>
      </w:r>
      <w:r w:rsidR="00E90FA9" w:rsidRPr="00FE4C4E">
        <w:t>D’après notre enquête de conversion, la collecte pourrait attein</w:t>
      </w:r>
      <w:r w:rsidR="00076D4A" w:rsidRPr="00FE4C4E">
        <w:t>dre</w:t>
      </w:r>
      <w:r w:rsidR="00E90FA9" w:rsidRPr="00FE4C4E">
        <w:t xml:space="preserve"> son plafond</w:t>
      </w:r>
      <w:r w:rsidR="00076D4A" w:rsidRPr="00FE4C4E">
        <w:t xml:space="preserve"> au cours du premier semestre 2023.</w:t>
      </w:r>
    </w:p>
    <w:p w14:paraId="08930B78" w14:textId="2730F16F" w:rsidR="007214BB" w:rsidRDefault="00B03123" w:rsidP="175EA9F7">
      <w:pPr>
        <w:rPr>
          <w:noProof/>
        </w:rPr>
      </w:pPr>
      <w:r>
        <w:rPr>
          <w:noProof/>
        </w:rPr>
        <w:drawing>
          <wp:anchor distT="0" distB="0" distL="114300" distR="114300" simplePos="0" relativeHeight="251658240" behindDoc="0" locked="0" layoutInCell="1" allowOverlap="1" wp14:anchorId="62757EC7" wp14:editId="38A39992">
            <wp:simplePos x="0" y="0"/>
            <wp:positionH relativeFrom="column">
              <wp:posOffset>68795</wp:posOffset>
            </wp:positionH>
            <wp:positionV relativeFrom="paragraph">
              <wp:posOffset>6386</wp:posOffset>
            </wp:positionV>
            <wp:extent cx="5106035" cy="3343910"/>
            <wp:effectExtent l="0" t="0" r="0" b="8890"/>
            <wp:wrapSquare wrapText="bothSides"/>
            <wp:docPr id="9" name="Image 9">
              <a:extLst xmlns:a="http://schemas.openxmlformats.org/drawingml/2006/main">
                <a:ext uri="{FF2B5EF4-FFF2-40B4-BE49-F238E27FC236}">
                  <a16:creationId xmlns:a16="http://schemas.microsoft.com/office/drawing/2014/main" id="{148F3984-B09A-C033-37B9-66FBCBD011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148F3984-B09A-C033-37B9-66FBCBD0114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06035" cy="3343910"/>
                    </a:xfrm>
                    <a:prstGeom prst="rect">
                      <a:avLst/>
                    </a:prstGeom>
                  </pic:spPr>
                </pic:pic>
              </a:graphicData>
            </a:graphic>
          </wp:anchor>
        </w:drawing>
      </w:r>
      <w:r w:rsidR="00E90FA9">
        <w:rPr>
          <w:noProof/>
        </w:rPr>
        <w:t xml:space="preserve"> </w:t>
      </w:r>
    </w:p>
    <w:p w14:paraId="196BABD7" w14:textId="77777777" w:rsidR="002E1CBA" w:rsidRDefault="002E1CBA" w:rsidP="175EA9F7">
      <w:pPr>
        <w:rPr>
          <w:noProof/>
        </w:rPr>
      </w:pPr>
    </w:p>
    <w:p w14:paraId="2C9D6D9F" w14:textId="77777777" w:rsidR="002E1CBA" w:rsidRDefault="002E1CBA" w:rsidP="175EA9F7">
      <w:pPr>
        <w:rPr>
          <w:noProof/>
        </w:rPr>
      </w:pPr>
    </w:p>
    <w:p w14:paraId="7C32BF62" w14:textId="77777777" w:rsidR="002E1CBA" w:rsidRDefault="002E1CBA" w:rsidP="175EA9F7">
      <w:pPr>
        <w:rPr>
          <w:noProof/>
        </w:rPr>
      </w:pPr>
    </w:p>
    <w:p w14:paraId="0AB36A4F" w14:textId="77777777" w:rsidR="002E1CBA" w:rsidRDefault="002E1CBA" w:rsidP="175EA9F7">
      <w:pPr>
        <w:rPr>
          <w:noProof/>
        </w:rPr>
      </w:pPr>
    </w:p>
    <w:p w14:paraId="0B9C74E0" w14:textId="77777777" w:rsidR="002E1CBA" w:rsidRDefault="002E1CBA" w:rsidP="175EA9F7">
      <w:pPr>
        <w:rPr>
          <w:noProof/>
        </w:rPr>
      </w:pPr>
    </w:p>
    <w:p w14:paraId="032DB4C7" w14:textId="77777777" w:rsidR="002E1CBA" w:rsidRDefault="002E1CBA" w:rsidP="175EA9F7">
      <w:pPr>
        <w:rPr>
          <w:noProof/>
        </w:rPr>
      </w:pPr>
    </w:p>
    <w:p w14:paraId="53490EEB" w14:textId="77777777" w:rsidR="002E1CBA" w:rsidRDefault="002E1CBA" w:rsidP="175EA9F7">
      <w:pPr>
        <w:rPr>
          <w:noProof/>
        </w:rPr>
      </w:pPr>
    </w:p>
    <w:p w14:paraId="66C5159E" w14:textId="77777777" w:rsidR="002E1CBA" w:rsidRDefault="002E1CBA" w:rsidP="175EA9F7">
      <w:pPr>
        <w:rPr>
          <w:noProof/>
        </w:rPr>
      </w:pPr>
    </w:p>
    <w:p w14:paraId="40783443" w14:textId="77777777" w:rsidR="002E1CBA" w:rsidRDefault="002E1CBA" w:rsidP="175EA9F7">
      <w:pPr>
        <w:rPr>
          <w:noProof/>
        </w:rPr>
      </w:pPr>
    </w:p>
    <w:p w14:paraId="013ADBCD" w14:textId="77777777" w:rsidR="002E1CBA" w:rsidRDefault="002E1CBA" w:rsidP="175EA9F7">
      <w:pPr>
        <w:rPr>
          <w:noProof/>
        </w:rPr>
      </w:pPr>
    </w:p>
    <w:p w14:paraId="3AD2588E" w14:textId="77777777" w:rsidR="002E1CBA" w:rsidRDefault="002E1CBA" w:rsidP="175EA9F7">
      <w:pPr>
        <w:rPr>
          <w:noProof/>
        </w:rPr>
      </w:pPr>
    </w:p>
    <w:p w14:paraId="2A1515EF" w14:textId="77777777" w:rsidR="002E1CBA" w:rsidRPr="007214BB" w:rsidRDefault="002E1CBA" w:rsidP="175EA9F7">
      <w:pPr>
        <w:rPr>
          <w:noProof/>
        </w:rPr>
      </w:pPr>
    </w:p>
    <w:p w14:paraId="23617065" w14:textId="178957D1" w:rsidR="007214BB" w:rsidRPr="007214BB" w:rsidRDefault="00C268F1" w:rsidP="007214BB">
      <w:pPr>
        <w:rPr>
          <w:noProof/>
        </w:rPr>
      </w:pPr>
      <w:r w:rsidRPr="00FE4C4E">
        <w:t>Cette situation s’explique par une très forte accélération des cessations d’activité d’atelier lait bio</w:t>
      </w:r>
      <w:r w:rsidR="006B476A" w:rsidRPr="00FE4C4E">
        <w:t>.</w:t>
      </w:r>
      <w:r w:rsidRPr="00FE4C4E">
        <w:t xml:space="preserve"> </w:t>
      </w:r>
      <w:r w:rsidR="006B476A" w:rsidRPr="00FE4C4E">
        <w:t>Le</w:t>
      </w:r>
      <w:r w:rsidR="007214BB" w:rsidRPr="00FE4C4E">
        <w:t xml:space="preserve"> nombre de points de collecte bio </w:t>
      </w:r>
      <w:r w:rsidR="248F8B66" w:rsidRPr="00FE4C4E">
        <w:t>a</w:t>
      </w:r>
      <w:r w:rsidR="6DBC76E8" w:rsidRPr="00FE4C4E">
        <w:t xml:space="preserve"> </w:t>
      </w:r>
      <w:r w:rsidR="006B476A" w:rsidRPr="00FE4C4E">
        <w:t xml:space="preserve">même </w:t>
      </w:r>
      <w:r w:rsidR="6DBC76E8" w:rsidRPr="00FE4C4E">
        <w:t xml:space="preserve">déjà </w:t>
      </w:r>
      <w:r w:rsidR="248F8B66" w:rsidRPr="00FE4C4E">
        <w:t>commencé</w:t>
      </w:r>
      <w:r w:rsidR="007214BB" w:rsidRPr="00FE4C4E">
        <w:t xml:space="preserve"> </w:t>
      </w:r>
      <w:r w:rsidR="00150690" w:rsidRPr="00FE4C4E">
        <w:t xml:space="preserve">à </w:t>
      </w:r>
      <w:r w:rsidR="006E735D" w:rsidRPr="00FE4C4E">
        <w:t>diminuer</w:t>
      </w:r>
      <w:r w:rsidR="007214BB" w:rsidRPr="00FE4C4E">
        <w:t>.</w:t>
      </w:r>
      <w:r w:rsidR="00712067" w:rsidRPr="00FE4C4E">
        <w:t xml:space="preserve"> </w:t>
      </w:r>
      <w:r w:rsidR="00E026A7" w:rsidRPr="00FE4C4E">
        <w:t>En février, il était en baisse de 1,5% par rapport à février 2022, alors qu’environ 200 conversions ont abouti entre temps.</w:t>
      </w:r>
      <w:r w:rsidR="00E026A7" w:rsidRPr="007214BB">
        <w:t xml:space="preserve"> </w:t>
      </w:r>
    </w:p>
    <w:p w14:paraId="52745917" w14:textId="3CFB0C61" w:rsidR="007214BB" w:rsidRPr="00F94755" w:rsidRDefault="007214BB" w:rsidP="00F94755">
      <w:r>
        <w:t xml:space="preserve">Auparavant marginales en bio grâce à un meilleur taux de reprise des exploitations, les cessations d’activités auraient concerné plus de </w:t>
      </w:r>
      <w:r w:rsidR="00D238CC">
        <w:t>5</w:t>
      </w:r>
      <w:r>
        <w:t xml:space="preserve">% des </w:t>
      </w:r>
      <w:r w:rsidR="25F82446">
        <w:t>fermes</w:t>
      </w:r>
      <w:r>
        <w:t xml:space="preserve"> </w:t>
      </w:r>
      <w:r w:rsidR="00D238CC">
        <w:t xml:space="preserve">laitières </w:t>
      </w:r>
      <w:r>
        <w:t xml:space="preserve">bio </w:t>
      </w:r>
      <w:r w:rsidR="002073D8">
        <w:t>sur un an glissant</w:t>
      </w:r>
      <w:r w:rsidR="3541D350">
        <w:t xml:space="preserve">, </w:t>
      </w:r>
      <w:r w:rsidR="3541D350" w:rsidRPr="00770D0C">
        <w:t xml:space="preserve">dépassant ainsi le taux de cessation d'activité laitière conventionnelle, qui </w:t>
      </w:r>
      <w:r w:rsidR="08683B30" w:rsidRPr="00770D0C">
        <w:t>se situe autour de 4</w:t>
      </w:r>
      <w:r w:rsidR="00C061E2" w:rsidRPr="00770D0C">
        <w:t>,5</w:t>
      </w:r>
      <w:r w:rsidR="08683B30" w:rsidRPr="00770D0C">
        <w:t>% par ans</w:t>
      </w:r>
      <w:r w:rsidR="46DDF543">
        <w:t>.</w:t>
      </w:r>
      <w:r>
        <w:t xml:space="preserve"> Environ 1/3 de ces cessations d’atelier lait bio sont imputables à des retours en conventionnel. Le reste est lié à des arrêts de l’atelier lait, ou de l’activité agricole, ce qui a pour conséquence d’accélérer la déprise laitière dans certaines zones.</w:t>
      </w:r>
    </w:p>
    <w:p w14:paraId="00C6CFF2" w14:textId="66965CE2" w:rsidR="00F94755" w:rsidRDefault="00E53F9D">
      <w:r>
        <w:rPr>
          <w:noProof/>
        </w:rPr>
        <w:drawing>
          <wp:inline distT="0" distB="0" distL="0" distR="0" wp14:anchorId="795061A3" wp14:editId="20D9D1D9">
            <wp:extent cx="5137120" cy="3063833"/>
            <wp:effectExtent l="0" t="0" r="6985"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3771" cy="3073764"/>
                    </a:xfrm>
                    <a:prstGeom prst="rect">
                      <a:avLst/>
                    </a:prstGeom>
                    <a:noFill/>
                  </pic:spPr>
                </pic:pic>
              </a:graphicData>
            </a:graphic>
          </wp:inline>
        </w:drawing>
      </w:r>
    </w:p>
    <w:p w14:paraId="564B1F2B" w14:textId="77777777" w:rsidR="00E53F9D" w:rsidRPr="003E50BB" w:rsidRDefault="00E53F9D" w:rsidP="00E53F9D"/>
    <w:p w14:paraId="4AB254BC" w14:textId="4EA44D20" w:rsidR="00E53F9D" w:rsidRPr="003E50BB" w:rsidRDefault="00E53F9D" w:rsidP="00E53F9D">
      <w:r w:rsidRPr="00FE4C4E">
        <w:t>En 2022, la collecte a suivi des trajectoires divergentes entre le Nord et le Sud de la France. La production</w:t>
      </w:r>
      <w:r w:rsidRPr="003E50BB">
        <w:t xml:space="preserve"> de lait bio a continué de progresser en </w:t>
      </w:r>
      <w:r w:rsidR="00D817A1" w:rsidRPr="003E50BB">
        <w:t>Bretagne,</w:t>
      </w:r>
      <w:r w:rsidRPr="003E50BB">
        <w:t xml:space="preserve"> en Normandie, et dans les Pays-de La Loire, mais a commencé à décroître en Auvergne </w:t>
      </w:r>
      <w:r w:rsidR="00D817A1" w:rsidRPr="003E50BB">
        <w:t>Rhône-</w:t>
      </w:r>
      <w:r w:rsidRPr="003E50BB">
        <w:t xml:space="preserve">Alpes, région dans laquelle le nombre de producteurs bio a déjà reculé de près de </w:t>
      </w:r>
      <w:r w:rsidR="00C1446E">
        <w:t>8</w:t>
      </w:r>
      <w:r w:rsidRPr="003E50BB">
        <w:t>% en un an.</w:t>
      </w:r>
    </w:p>
    <w:p w14:paraId="66A6F036" w14:textId="16A7A5ED" w:rsidR="00E53F9D" w:rsidRDefault="00E53F9D">
      <w:r>
        <w:rPr>
          <w:noProof/>
        </w:rPr>
        <w:drawing>
          <wp:inline distT="0" distB="0" distL="0" distR="0" wp14:anchorId="2B483A20" wp14:editId="637EF791">
            <wp:extent cx="4110512" cy="2674189"/>
            <wp:effectExtent l="0" t="0" r="4445" b="0"/>
            <wp:docPr id="4" name="Image 4"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carte&#10;&#10;Description générée automatiquement"/>
                    <pic:cNvPicPr/>
                  </pic:nvPicPr>
                  <pic:blipFill>
                    <a:blip r:embed="rId10"/>
                    <a:stretch>
                      <a:fillRect/>
                    </a:stretch>
                  </pic:blipFill>
                  <pic:spPr>
                    <a:xfrm>
                      <a:off x="0" y="0"/>
                      <a:ext cx="4115768" cy="2677608"/>
                    </a:xfrm>
                    <a:prstGeom prst="rect">
                      <a:avLst/>
                    </a:prstGeom>
                  </pic:spPr>
                </pic:pic>
              </a:graphicData>
            </a:graphic>
          </wp:inline>
        </w:drawing>
      </w:r>
    </w:p>
    <w:p w14:paraId="3895328A" w14:textId="77777777" w:rsidR="00E53F9D" w:rsidRDefault="00E53F9D"/>
    <w:p w14:paraId="37EA8D51" w14:textId="2E1EE568" w:rsidR="00E53F9D" w:rsidRPr="00E53F9D" w:rsidRDefault="00E53F9D" w:rsidP="00E53F9D">
      <w:pPr>
        <w:rPr>
          <w:color w:val="FF0000"/>
        </w:rPr>
      </w:pPr>
      <w:r w:rsidRPr="00FE4C4E">
        <w:t xml:space="preserve">Après plusieurs années de forte croissance, la consommation de produits laitiers bio s’est retournée </w:t>
      </w:r>
      <w:r w:rsidR="335B04EB" w:rsidRPr="00FE4C4E">
        <w:t>en</w:t>
      </w:r>
      <w:r w:rsidRPr="00FE4C4E">
        <w:t xml:space="preserve"> 2021, et recule depuis dans toutes les familles de produits</w:t>
      </w:r>
      <w:r w:rsidR="335B04EB" w:rsidRPr="00FE4C4E">
        <w:t>.</w:t>
      </w:r>
      <w:r w:rsidRPr="00FE4C4E">
        <w:t xml:space="preserve"> En 2022, les ventes de produits laitiers bio en grandes et moyennes surface</w:t>
      </w:r>
      <w:r w:rsidR="355C6C6D" w:rsidRPr="00FE4C4E">
        <w:t>s</w:t>
      </w:r>
      <w:r w:rsidRPr="00FE4C4E">
        <w:t xml:space="preserve"> sont revenues à leur niveau de 2018, alors que la collecte</w:t>
      </w:r>
      <w:r>
        <w:t xml:space="preserve">, représentée par la courbe rouge, a </w:t>
      </w:r>
      <w:r w:rsidR="78698631">
        <w:t xml:space="preserve">entre-temps </w:t>
      </w:r>
      <w:r>
        <w:t>crû de 50%.</w:t>
      </w:r>
      <w:r w:rsidR="0F0C7443">
        <w:t xml:space="preserve"> </w:t>
      </w:r>
      <w:r>
        <w:t xml:space="preserve">Sur les 3 premiers mois de 2023, la consommation continue de diminuer au même rythme. </w:t>
      </w:r>
    </w:p>
    <w:p w14:paraId="1772EDB6" w14:textId="2C879B24" w:rsidR="00E53F9D" w:rsidRDefault="00FD02B7">
      <w:r>
        <w:rPr>
          <w:noProof/>
        </w:rPr>
        <w:drawing>
          <wp:inline distT="0" distB="0" distL="0" distR="0" wp14:anchorId="6D8CB0AA" wp14:editId="44BE0640">
            <wp:extent cx="4427705" cy="3657121"/>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2158" cy="3669058"/>
                    </a:xfrm>
                    <a:prstGeom prst="rect">
                      <a:avLst/>
                    </a:prstGeom>
                    <a:noFill/>
                  </pic:spPr>
                </pic:pic>
              </a:graphicData>
            </a:graphic>
          </wp:inline>
        </w:drawing>
      </w:r>
    </w:p>
    <w:p w14:paraId="2FB2440C" w14:textId="64E943B8" w:rsidR="00E53F9D" w:rsidRDefault="00E53F9D"/>
    <w:p w14:paraId="631EA696" w14:textId="77777777" w:rsidR="00AD1F7D" w:rsidRDefault="00AD1F7D"/>
    <w:p w14:paraId="0632E3F5" w14:textId="77777777" w:rsidR="00AD1F7D" w:rsidRDefault="00AD1F7D"/>
    <w:p w14:paraId="1BFB78A5" w14:textId="77777777" w:rsidR="00AD1F7D" w:rsidRDefault="00AD1F7D"/>
    <w:p w14:paraId="31AFA038" w14:textId="77777777" w:rsidR="00AD1F7D" w:rsidRDefault="00AD1F7D"/>
    <w:p w14:paraId="63D7CEFF" w14:textId="53F644EF" w:rsidR="00E53F9D" w:rsidRPr="00B20FE5" w:rsidRDefault="00E53F9D" w:rsidP="00E026A7">
      <w:pPr>
        <w:rPr>
          <w:color w:val="000000" w:themeColor="text1"/>
        </w:rPr>
      </w:pPr>
      <w:r w:rsidRPr="00FE4C4E">
        <w:rPr>
          <w:color w:val="000000" w:themeColor="text1"/>
        </w:rPr>
        <w:t xml:space="preserve">Par conséquent, les déclassements de lait bio ont fortement augmenté. D’après nos estimations, au moins 35% du lait </w:t>
      </w:r>
      <w:r w:rsidR="00E705E8" w:rsidRPr="00FE4C4E">
        <w:rPr>
          <w:color w:val="000000" w:themeColor="text1"/>
        </w:rPr>
        <w:t xml:space="preserve">bio </w:t>
      </w:r>
      <w:r w:rsidRPr="00FE4C4E">
        <w:rPr>
          <w:color w:val="000000" w:themeColor="text1"/>
        </w:rPr>
        <w:t xml:space="preserve">collecté en 2022 aurait été déclassé. Ce chiffre </w:t>
      </w:r>
      <w:r w:rsidR="00E95C8C" w:rsidRPr="00FE4C4E">
        <w:rPr>
          <w:color w:val="000000" w:themeColor="text1"/>
        </w:rPr>
        <w:t>exprimé</w:t>
      </w:r>
      <w:r w:rsidR="00276783" w:rsidRPr="00FE4C4E">
        <w:rPr>
          <w:color w:val="000000" w:themeColor="text1"/>
        </w:rPr>
        <w:t xml:space="preserve"> en équivalent lait </w:t>
      </w:r>
      <w:r w:rsidRPr="00FE4C4E">
        <w:rPr>
          <w:color w:val="000000" w:themeColor="text1"/>
        </w:rPr>
        <w:t>occulte le fort déséquilibre matière qui caractérise la filière bio, avec une plus forte demande pour la matière grasse biologique</w:t>
      </w:r>
      <w:r w:rsidR="00B20FE5" w:rsidRPr="00FE4C4E">
        <w:rPr>
          <w:color w:val="000000" w:themeColor="text1"/>
        </w:rPr>
        <w:t>.</w:t>
      </w:r>
    </w:p>
    <w:p w14:paraId="2744FE80" w14:textId="48B32F25" w:rsidR="00E53F9D" w:rsidRDefault="00E53F9D" w:rsidP="00FE1A59">
      <w:pPr>
        <w:jc w:val="center"/>
      </w:pPr>
      <w:r>
        <w:rPr>
          <w:noProof/>
        </w:rPr>
        <w:drawing>
          <wp:inline distT="0" distB="0" distL="0" distR="0" wp14:anchorId="1967E8F5" wp14:editId="792E5899">
            <wp:extent cx="3812875" cy="2962626"/>
            <wp:effectExtent l="0" t="0" r="0" b="9525"/>
            <wp:docPr id="6" name="Image 6" descr="Une image contenant graphique&#10;&#10;Description générée automatiquement">
              <a:extLst xmlns:a="http://schemas.openxmlformats.org/drawingml/2006/main">
                <a:ext uri="{FF2B5EF4-FFF2-40B4-BE49-F238E27FC236}">
                  <a16:creationId xmlns:a16="http://schemas.microsoft.com/office/drawing/2014/main" id="{3BA1D400-20D0-6D80-A9BA-1AABEF95F6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graphique&#10;&#10;Description générée automatiquement">
                      <a:extLst>
                        <a:ext uri="{FF2B5EF4-FFF2-40B4-BE49-F238E27FC236}">
                          <a16:creationId xmlns:a16="http://schemas.microsoft.com/office/drawing/2014/main" id="{3BA1D400-20D0-6D80-A9BA-1AABEF95F610}"/>
                        </a:ext>
                      </a:extLst>
                    </pic:cNvPr>
                    <pic:cNvPicPr>
                      <a:picLocks noChangeAspect="1"/>
                    </pic:cNvPicPr>
                  </pic:nvPicPr>
                  <pic:blipFill>
                    <a:blip r:embed="rId12"/>
                    <a:stretch>
                      <a:fillRect/>
                    </a:stretch>
                  </pic:blipFill>
                  <pic:spPr>
                    <a:xfrm>
                      <a:off x="0" y="0"/>
                      <a:ext cx="3826420" cy="2973150"/>
                    </a:xfrm>
                    <a:prstGeom prst="rect">
                      <a:avLst/>
                    </a:prstGeom>
                  </pic:spPr>
                </pic:pic>
              </a:graphicData>
            </a:graphic>
          </wp:inline>
        </w:drawing>
      </w:r>
    </w:p>
    <w:p w14:paraId="4D8BB352" w14:textId="77777777" w:rsidR="00E53F9D" w:rsidRDefault="00E53F9D"/>
    <w:p w14:paraId="320C3E64" w14:textId="69BCE589" w:rsidR="00E53F9D" w:rsidRPr="00B36B17" w:rsidRDefault="000B3CE9" w:rsidP="00E53F9D">
      <w:pPr>
        <w:rPr>
          <w:color w:val="000000"/>
        </w:rPr>
      </w:pPr>
      <w:r w:rsidRPr="00A33B5A">
        <w:rPr>
          <w:color w:val="000000"/>
        </w:rPr>
        <w:t>L</w:t>
      </w:r>
      <w:r w:rsidR="00E62E79" w:rsidRPr="00A33B5A">
        <w:rPr>
          <w:color w:val="000000"/>
        </w:rPr>
        <w:t xml:space="preserve">es éleveurs bio n’ont pas été épargnés par la flambée des coûts de production, dans un contexte de canicule et de sécheresse, qui a particulièrement affecté les systèmes herbagers. D’après les estimations de l’institut de l’élevage, </w:t>
      </w:r>
      <w:r w:rsidR="00F5672B" w:rsidRPr="00A33B5A">
        <w:rPr>
          <w:color w:val="000000"/>
        </w:rPr>
        <w:t>leurs</w:t>
      </w:r>
      <w:r w:rsidR="00E62E79" w:rsidRPr="00A33B5A">
        <w:rPr>
          <w:color w:val="000000"/>
        </w:rPr>
        <w:t xml:space="preserve"> couts de production</w:t>
      </w:r>
      <w:r w:rsidR="00E62E79" w:rsidRPr="00A33B5A">
        <w:rPr>
          <w:strike/>
          <w:color w:val="000000"/>
        </w:rPr>
        <w:t xml:space="preserve"> </w:t>
      </w:r>
      <w:r w:rsidR="00E62E79" w:rsidRPr="00A33B5A">
        <w:rPr>
          <w:color w:val="000000"/>
        </w:rPr>
        <w:t>auraient augmenté de près de 10% en 2022. </w:t>
      </w:r>
      <w:r w:rsidR="00D4580D" w:rsidRPr="00A33B5A">
        <w:t xml:space="preserve"> </w:t>
      </w:r>
      <w:r w:rsidR="00431825" w:rsidRPr="00A33B5A">
        <w:rPr>
          <w:color w:val="000000"/>
        </w:rPr>
        <w:t xml:space="preserve">De plus, </w:t>
      </w:r>
      <w:r w:rsidR="00D22CC9" w:rsidRPr="00A33B5A">
        <w:rPr>
          <w:color w:val="000000"/>
        </w:rPr>
        <w:t>à</w:t>
      </w:r>
      <w:r w:rsidRPr="00A33B5A">
        <w:rPr>
          <w:color w:val="000000"/>
        </w:rPr>
        <w:t xml:space="preserve"> cause</w:t>
      </w:r>
      <w:r w:rsidRPr="00D22CC9">
        <w:rPr>
          <w:color w:val="000000"/>
        </w:rPr>
        <w:t xml:space="preserve"> </w:t>
      </w:r>
      <w:r w:rsidR="00431825" w:rsidRPr="00D22CC9">
        <w:rPr>
          <w:color w:val="000000"/>
        </w:rPr>
        <w:t>du</w:t>
      </w:r>
      <w:r w:rsidRPr="00D22CC9">
        <w:rPr>
          <w:color w:val="000000"/>
        </w:rPr>
        <w:t xml:space="preserve"> déséquilibre de marché, le prix du lait bio a stagné en moyenne en 2022, contrairement au prix du lait conventionnel qui a augmenté de 23%.</w:t>
      </w:r>
      <w:r w:rsidR="004B67B5" w:rsidRPr="00D22CC9">
        <w:rPr>
          <w:color w:val="000000"/>
        </w:rPr>
        <w:t xml:space="preserve">  </w:t>
      </w:r>
      <w:r w:rsidR="004B67B5" w:rsidRPr="007C3B1A">
        <w:rPr>
          <w:color w:val="000000"/>
        </w:rPr>
        <w:t xml:space="preserve">Par conséquent, </w:t>
      </w:r>
      <w:r w:rsidR="00825588" w:rsidRPr="007C3B1A">
        <w:rPr>
          <w:color w:val="000000"/>
        </w:rPr>
        <w:t xml:space="preserve">d’après l’institut de l’élevage, </w:t>
      </w:r>
      <w:r w:rsidR="004B67B5" w:rsidRPr="007C3B1A">
        <w:rPr>
          <w:color w:val="000000"/>
        </w:rPr>
        <w:t xml:space="preserve">le revenu courant par unité de main d’œuvre aurait baissé de 7000€ dans les fermes bio de plaine en un an, et de 18 000 € depuis 2018.  </w:t>
      </w:r>
      <w:r w:rsidR="001E0283" w:rsidRPr="001E0283">
        <w:rPr>
          <w:color w:val="000000"/>
        </w:rPr>
        <w:t>D’après l’observatoire des coûts de production publié par le CNIEL, la situation s’est même davantage dégradée dans les fermes bio de montagne, qui ont subi des hausses de coûts de production plus fortes ces dernières années</w:t>
      </w:r>
      <w:r w:rsidR="001E0283" w:rsidRPr="007C3B1A">
        <w:t>.</w:t>
      </w:r>
      <w:r w:rsidR="001E0283">
        <w:t xml:space="preserve"> </w:t>
      </w:r>
      <w:r w:rsidR="007C3B1A" w:rsidRPr="00D22CC9">
        <w:t>Depuis l’automne, le prix du lait bio progresse toutefois plus significativement, mais avec une forte hétérogénéité entre les laiteries. En février, le prix du lait bio se situait en moyenne 7% au-dessus de son niveau de 2022.</w:t>
      </w:r>
    </w:p>
    <w:p w14:paraId="24DC12D5" w14:textId="29CB4CAC" w:rsidR="00E53F9D" w:rsidRDefault="00E53F9D"/>
    <w:p w14:paraId="77492D69" w14:textId="4D60078F" w:rsidR="00E53F9D" w:rsidRDefault="00E53F9D"/>
    <w:p w14:paraId="1A64F5DF" w14:textId="60417CF7" w:rsidR="00D817A1" w:rsidRDefault="00E53F9D">
      <w:r>
        <w:rPr>
          <w:noProof/>
        </w:rPr>
        <w:drawing>
          <wp:inline distT="0" distB="0" distL="0" distR="0" wp14:anchorId="523A4AAB" wp14:editId="64EA7180">
            <wp:extent cx="3828403" cy="2768756"/>
            <wp:effectExtent l="0" t="0" r="1270" b="0"/>
            <wp:docPr id="7" name="Image 7" descr="Une image contenant graphique&#10;&#10;Description générée automatiquement">
              <a:extLst xmlns:a="http://schemas.openxmlformats.org/drawingml/2006/main">
                <a:ext uri="{FF2B5EF4-FFF2-40B4-BE49-F238E27FC236}">
                  <a16:creationId xmlns:a16="http://schemas.microsoft.com/office/drawing/2014/main" id="{0097B479-A00A-F7AB-38B4-7C9F5B282F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Une image contenant graphique&#10;&#10;Description générée automatiquement">
                      <a:extLst>
                        <a:ext uri="{FF2B5EF4-FFF2-40B4-BE49-F238E27FC236}">
                          <a16:creationId xmlns:a16="http://schemas.microsoft.com/office/drawing/2014/main" id="{0097B479-A00A-F7AB-38B4-7C9F5B282FF5}"/>
                        </a:ext>
                      </a:extLst>
                    </pic:cNvPr>
                    <pic:cNvPicPr>
                      <a:picLocks noChangeAspect="1"/>
                    </pic:cNvPicPr>
                  </pic:nvPicPr>
                  <pic:blipFill>
                    <a:blip r:embed="rId13"/>
                    <a:stretch>
                      <a:fillRect/>
                    </a:stretch>
                  </pic:blipFill>
                  <pic:spPr>
                    <a:xfrm>
                      <a:off x="0" y="0"/>
                      <a:ext cx="3833728" cy="2772607"/>
                    </a:xfrm>
                    <a:prstGeom prst="rect">
                      <a:avLst/>
                    </a:prstGeom>
                  </pic:spPr>
                </pic:pic>
              </a:graphicData>
            </a:graphic>
          </wp:inline>
        </w:drawing>
      </w:r>
    </w:p>
    <w:p w14:paraId="01BE2824" w14:textId="77777777" w:rsidR="00AD1F7D" w:rsidRDefault="00AD1F7D"/>
    <w:p w14:paraId="37291B25" w14:textId="77777777" w:rsidR="00AD1F7D" w:rsidRDefault="00AD1F7D"/>
    <w:p w14:paraId="7772916A" w14:textId="77777777" w:rsidR="00AD1F7D" w:rsidRDefault="00AD1F7D"/>
    <w:p w14:paraId="1BD02A2B" w14:textId="343658AB" w:rsidR="00D817A1" w:rsidRPr="00D817A1" w:rsidRDefault="00D817A1" w:rsidP="00D817A1">
      <w:r w:rsidRPr="00FE4C4E">
        <w:t xml:space="preserve">Le ralentissement de la consommation de produits bio </w:t>
      </w:r>
      <w:r w:rsidR="00D3581B" w:rsidRPr="00FE4C4E">
        <w:t>comporte</w:t>
      </w:r>
      <w:r w:rsidRPr="00FE4C4E">
        <w:t xml:space="preserve"> </w:t>
      </w:r>
      <w:r w:rsidR="00D42FA1" w:rsidRPr="00FE4C4E">
        <w:t xml:space="preserve">certes </w:t>
      </w:r>
      <w:r w:rsidR="00A069AB" w:rsidRPr="00FE4C4E">
        <w:t>des c</w:t>
      </w:r>
      <w:r w:rsidRPr="00FE4C4E">
        <w:t xml:space="preserve">auses structurelles. </w:t>
      </w:r>
      <w:r w:rsidR="003D28AA" w:rsidRPr="00FE4C4E">
        <w:t xml:space="preserve">Les ventes de </w:t>
      </w:r>
      <w:r w:rsidRPr="00FE4C4E">
        <w:t>produits bio avai</w:t>
      </w:r>
      <w:r w:rsidR="00D42FA1" w:rsidRPr="00FE4C4E">
        <w:t>en</w:t>
      </w:r>
      <w:r w:rsidRPr="00FE4C4E">
        <w:t>t commencé à ralentir avant l’apparition de l’inflation</w:t>
      </w:r>
      <w:r w:rsidR="49FB941E" w:rsidRPr="00FE4C4E">
        <w:t xml:space="preserve"> fin 2021</w:t>
      </w:r>
      <w:r w:rsidRPr="00FE4C4E">
        <w:t xml:space="preserve">, et plusieurs études </w:t>
      </w:r>
      <w:r w:rsidR="3F13DFCE" w:rsidRPr="00FE4C4E">
        <w:t xml:space="preserve">auprès des consommateurs ont </w:t>
      </w:r>
      <w:r w:rsidR="597F4D33" w:rsidRPr="00FE4C4E">
        <w:t xml:space="preserve">montré </w:t>
      </w:r>
      <w:r w:rsidR="190FEF4C" w:rsidRPr="00FE4C4E">
        <w:t>une</w:t>
      </w:r>
      <w:r w:rsidRPr="00FE4C4E">
        <w:t xml:space="preserve"> </w:t>
      </w:r>
      <w:r w:rsidR="008C1569" w:rsidRPr="00FE4C4E">
        <w:t>certaine</w:t>
      </w:r>
      <w:r w:rsidRPr="00FE4C4E">
        <w:t xml:space="preserve"> altération </w:t>
      </w:r>
      <w:r w:rsidR="190FEF4C" w:rsidRPr="00FE4C4E">
        <w:t>de</w:t>
      </w:r>
      <w:r w:rsidR="474C67D6" w:rsidRPr="00FE4C4E">
        <w:t xml:space="preserve"> </w:t>
      </w:r>
      <w:r w:rsidR="01E3B928" w:rsidRPr="00FE4C4E">
        <w:t>la</w:t>
      </w:r>
      <w:r w:rsidR="003101A1" w:rsidRPr="00FE4C4E">
        <w:t xml:space="preserve"> perception</w:t>
      </w:r>
      <w:r w:rsidR="00FA2F3C" w:rsidRPr="00FE4C4E">
        <w:t xml:space="preserve"> des bénéfices des produits </w:t>
      </w:r>
      <w:r w:rsidR="628CE2D2" w:rsidRPr="00FE4C4E">
        <w:t>bio</w:t>
      </w:r>
      <w:r w:rsidR="2B9EC37B" w:rsidRPr="00FE4C4E">
        <w:t xml:space="preserve"> </w:t>
      </w:r>
      <w:r w:rsidR="70810D41" w:rsidRPr="00FE4C4E">
        <w:t>sur la santé et l’environnement</w:t>
      </w:r>
      <w:r w:rsidR="00FA2F3C" w:rsidRPr="00FE4C4E">
        <w:t>.</w:t>
      </w:r>
      <w:r w:rsidR="00FA2F3C">
        <w:t xml:space="preserve"> </w:t>
      </w:r>
    </w:p>
    <w:p w14:paraId="6A49F729" w14:textId="498CEC99" w:rsidR="00B20FE5" w:rsidRPr="00E026A7" w:rsidRDefault="190FEF4C" w:rsidP="00D817A1">
      <w:pPr>
        <w:rPr>
          <w:color w:val="FF0000"/>
        </w:rPr>
      </w:pPr>
      <w:r>
        <w:t xml:space="preserve">Néanmoins, </w:t>
      </w:r>
      <w:r w:rsidR="718589E8">
        <w:t>cette</w:t>
      </w:r>
      <w:r w:rsidR="005F6AD8">
        <w:t xml:space="preserve"> </w:t>
      </w:r>
      <w:r w:rsidR="002A0F29">
        <w:t>déconsommation</w:t>
      </w:r>
      <w:r w:rsidR="005F6AD8">
        <w:t xml:space="preserve"> </w:t>
      </w:r>
      <w:r w:rsidR="00B852B9">
        <w:t xml:space="preserve">pourrait </w:t>
      </w:r>
      <w:r w:rsidR="002B7286">
        <w:t>surtout</w:t>
      </w:r>
      <w:r w:rsidR="00B852B9">
        <w:t xml:space="preserve"> être lié</w:t>
      </w:r>
      <w:r w:rsidR="002A0F29">
        <w:t>e</w:t>
      </w:r>
      <w:r w:rsidR="00B852B9">
        <w:t xml:space="preserve"> à des facteurs conjoncturels</w:t>
      </w:r>
      <w:r w:rsidR="007357BA">
        <w:t>, et donc par définition transitoires.</w:t>
      </w:r>
      <w:r w:rsidR="002103E4">
        <w:t xml:space="preserve"> </w:t>
      </w:r>
      <w:r w:rsidR="00485842">
        <w:t>En effet, l</w:t>
      </w:r>
      <w:r w:rsidR="002103E4">
        <w:t>’inflation</w:t>
      </w:r>
      <w:r w:rsidR="00485842">
        <w:t xml:space="preserve"> actuelle</w:t>
      </w:r>
      <w:r w:rsidR="002103E4">
        <w:t xml:space="preserve"> se traduit par une descente en gamme </w:t>
      </w:r>
      <w:r w:rsidR="001A3247">
        <w:t>de la consommation,</w:t>
      </w:r>
      <w:r w:rsidR="002103E4">
        <w:t xml:space="preserve"> qui pénalise particulièrement </w:t>
      </w:r>
      <w:r w:rsidR="001A3247">
        <w:t>les produits bio</w:t>
      </w:r>
      <w:r w:rsidR="002103E4">
        <w:t xml:space="preserve">. </w:t>
      </w:r>
      <w:r w:rsidR="007357BA" w:rsidDel="00712067">
        <w:t xml:space="preserve"> </w:t>
      </w:r>
      <w:r w:rsidR="007716F8">
        <w:t>Ce</w:t>
      </w:r>
      <w:r w:rsidR="00D817A1">
        <w:t xml:space="preserve"> graphique</w:t>
      </w:r>
      <w:r w:rsidR="00D817A1" w:rsidRPr="00D817A1">
        <w:t xml:space="preserve"> montre </w:t>
      </w:r>
      <w:r w:rsidR="00D817A1">
        <w:t>une</w:t>
      </w:r>
      <w:r w:rsidR="00D817A1" w:rsidRPr="00D817A1">
        <w:t xml:space="preserve"> très forte corrélation inverse entre le taux annuel d’inflation générale dans l’économie, et l’évolution de la consommation des produits laitiers</w:t>
      </w:r>
      <w:r w:rsidR="001A3247">
        <w:t xml:space="preserve"> bio</w:t>
      </w:r>
      <w:r w:rsidR="00D817A1" w:rsidRPr="00D817A1">
        <w:t xml:space="preserve"> en G</w:t>
      </w:r>
      <w:r w:rsidR="00F676F0">
        <w:t xml:space="preserve">randes et </w:t>
      </w:r>
      <w:r w:rsidR="00D817A1" w:rsidRPr="00D817A1">
        <w:t>M</w:t>
      </w:r>
      <w:r w:rsidR="00F676F0">
        <w:t xml:space="preserve">oyenne </w:t>
      </w:r>
      <w:r w:rsidR="00D817A1" w:rsidRPr="00D817A1">
        <w:t>S</w:t>
      </w:r>
      <w:r w:rsidR="00F676F0">
        <w:t>urface</w:t>
      </w:r>
      <w:r w:rsidR="00D817A1">
        <w:t>.</w:t>
      </w:r>
      <w:r w:rsidR="00D817A1" w:rsidDel="00712067">
        <w:t xml:space="preserve"> </w:t>
      </w:r>
      <w:r w:rsidR="00D817A1" w:rsidRPr="00D817A1">
        <w:t>L’accélération de la déconsommation de produits bio coïncide</w:t>
      </w:r>
      <w:r w:rsidR="00E57B3D">
        <w:t xml:space="preserve"> en effet</w:t>
      </w:r>
      <w:r w:rsidR="00D817A1" w:rsidRPr="00D817A1">
        <w:t xml:space="preserve"> parfaitement avec les prémices de l’inflation fin 2021, et avec son explosion à la suite de la guerre en Ukraine en 2022. </w:t>
      </w:r>
      <w:r w:rsidR="00B20FE5" w:rsidRPr="00E026A7">
        <w:rPr>
          <w:color w:val="000000" w:themeColor="text1"/>
        </w:rPr>
        <w:t>Le ralentissement attendu de l’inflation au second semestre pourrait donc permettre une reprise partielle de la consommation.</w:t>
      </w:r>
    </w:p>
    <w:p w14:paraId="1E6E1EEF" w14:textId="02054FC5" w:rsidR="00D817A1" w:rsidRPr="00D817A1" w:rsidRDefault="00D817A1" w:rsidP="00D817A1">
      <w:r>
        <w:rPr>
          <w:noProof/>
        </w:rPr>
        <w:drawing>
          <wp:inline distT="0" distB="0" distL="0" distR="0" wp14:anchorId="20D1FB08" wp14:editId="10549A92">
            <wp:extent cx="5934974" cy="3907766"/>
            <wp:effectExtent l="0" t="0" r="8890" b="17145"/>
            <wp:docPr id="1" name="Graphique 1">
              <a:extLst xmlns:a="http://schemas.openxmlformats.org/drawingml/2006/main">
                <a:ext uri="{FF2B5EF4-FFF2-40B4-BE49-F238E27FC236}">
                  <a16:creationId xmlns:a16="http://schemas.microsoft.com/office/drawing/2014/main" id="{1ED6A641-1BC2-98BB-3545-814CA056AC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C155D4" w14:textId="77777777" w:rsidR="00D817A1" w:rsidRDefault="00D817A1"/>
    <w:p w14:paraId="41B4DEE1" w14:textId="77777777" w:rsidR="00E53F9D" w:rsidRDefault="00E53F9D"/>
    <w:sectPr w:rsidR="00E53F9D" w:rsidSect="000335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41175"/>
    <w:multiLevelType w:val="hybridMultilevel"/>
    <w:tmpl w:val="C82CC0A2"/>
    <w:lvl w:ilvl="0" w:tplc="9020C836">
      <w:start w:val="1"/>
      <w:numFmt w:val="bullet"/>
      <w:lvlText w:val="•"/>
      <w:lvlJc w:val="left"/>
      <w:pPr>
        <w:tabs>
          <w:tab w:val="num" w:pos="720"/>
        </w:tabs>
        <w:ind w:left="720" w:hanging="360"/>
      </w:pPr>
      <w:rPr>
        <w:rFonts w:ascii="Arial" w:hAnsi="Arial" w:hint="default"/>
      </w:rPr>
    </w:lvl>
    <w:lvl w:ilvl="1" w:tplc="38F2044E" w:tentative="1">
      <w:start w:val="1"/>
      <w:numFmt w:val="bullet"/>
      <w:lvlText w:val="•"/>
      <w:lvlJc w:val="left"/>
      <w:pPr>
        <w:tabs>
          <w:tab w:val="num" w:pos="1440"/>
        </w:tabs>
        <w:ind w:left="1440" w:hanging="360"/>
      </w:pPr>
      <w:rPr>
        <w:rFonts w:ascii="Arial" w:hAnsi="Arial" w:hint="default"/>
      </w:rPr>
    </w:lvl>
    <w:lvl w:ilvl="2" w:tplc="A0C42C20" w:tentative="1">
      <w:start w:val="1"/>
      <w:numFmt w:val="bullet"/>
      <w:lvlText w:val="•"/>
      <w:lvlJc w:val="left"/>
      <w:pPr>
        <w:tabs>
          <w:tab w:val="num" w:pos="2160"/>
        </w:tabs>
        <w:ind w:left="2160" w:hanging="360"/>
      </w:pPr>
      <w:rPr>
        <w:rFonts w:ascii="Arial" w:hAnsi="Arial" w:hint="default"/>
      </w:rPr>
    </w:lvl>
    <w:lvl w:ilvl="3" w:tplc="4328D6A8" w:tentative="1">
      <w:start w:val="1"/>
      <w:numFmt w:val="bullet"/>
      <w:lvlText w:val="•"/>
      <w:lvlJc w:val="left"/>
      <w:pPr>
        <w:tabs>
          <w:tab w:val="num" w:pos="2880"/>
        </w:tabs>
        <w:ind w:left="2880" w:hanging="360"/>
      </w:pPr>
      <w:rPr>
        <w:rFonts w:ascii="Arial" w:hAnsi="Arial" w:hint="default"/>
      </w:rPr>
    </w:lvl>
    <w:lvl w:ilvl="4" w:tplc="A7BEB83A" w:tentative="1">
      <w:start w:val="1"/>
      <w:numFmt w:val="bullet"/>
      <w:lvlText w:val="•"/>
      <w:lvlJc w:val="left"/>
      <w:pPr>
        <w:tabs>
          <w:tab w:val="num" w:pos="3600"/>
        </w:tabs>
        <w:ind w:left="3600" w:hanging="360"/>
      </w:pPr>
      <w:rPr>
        <w:rFonts w:ascii="Arial" w:hAnsi="Arial" w:hint="default"/>
      </w:rPr>
    </w:lvl>
    <w:lvl w:ilvl="5" w:tplc="1354BBC0" w:tentative="1">
      <w:start w:val="1"/>
      <w:numFmt w:val="bullet"/>
      <w:lvlText w:val="•"/>
      <w:lvlJc w:val="left"/>
      <w:pPr>
        <w:tabs>
          <w:tab w:val="num" w:pos="4320"/>
        </w:tabs>
        <w:ind w:left="4320" w:hanging="360"/>
      </w:pPr>
      <w:rPr>
        <w:rFonts w:ascii="Arial" w:hAnsi="Arial" w:hint="default"/>
      </w:rPr>
    </w:lvl>
    <w:lvl w:ilvl="6" w:tplc="6826EBFA" w:tentative="1">
      <w:start w:val="1"/>
      <w:numFmt w:val="bullet"/>
      <w:lvlText w:val="•"/>
      <w:lvlJc w:val="left"/>
      <w:pPr>
        <w:tabs>
          <w:tab w:val="num" w:pos="5040"/>
        </w:tabs>
        <w:ind w:left="5040" w:hanging="360"/>
      </w:pPr>
      <w:rPr>
        <w:rFonts w:ascii="Arial" w:hAnsi="Arial" w:hint="default"/>
      </w:rPr>
    </w:lvl>
    <w:lvl w:ilvl="7" w:tplc="621E9B64" w:tentative="1">
      <w:start w:val="1"/>
      <w:numFmt w:val="bullet"/>
      <w:lvlText w:val="•"/>
      <w:lvlJc w:val="left"/>
      <w:pPr>
        <w:tabs>
          <w:tab w:val="num" w:pos="5760"/>
        </w:tabs>
        <w:ind w:left="5760" w:hanging="360"/>
      </w:pPr>
      <w:rPr>
        <w:rFonts w:ascii="Arial" w:hAnsi="Arial" w:hint="default"/>
      </w:rPr>
    </w:lvl>
    <w:lvl w:ilvl="8" w:tplc="D6DC31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D91C2A"/>
    <w:multiLevelType w:val="hybridMultilevel"/>
    <w:tmpl w:val="4BD6A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2632B7"/>
    <w:multiLevelType w:val="hybridMultilevel"/>
    <w:tmpl w:val="A22A9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0F4052"/>
    <w:multiLevelType w:val="hybridMultilevel"/>
    <w:tmpl w:val="93FE0596"/>
    <w:lvl w:ilvl="0" w:tplc="A4F6DF66">
      <w:start w:val="1"/>
      <w:numFmt w:val="bullet"/>
      <w:lvlText w:val="•"/>
      <w:lvlJc w:val="left"/>
      <w:pPr>
        <w:tabs>
          <w:tab w:val="num" w:pos="720"/>
        </w:tabs>
        <w:ind w:left="720" w:hanging="360"/>
      </w:pPr>
      <w:rPr>
        <w:rFonts w:ascii="Arial" w:hAnsi="Arial" w:hint="default"/>
      </w:rPr>
    </w:lvl>
    <w:lvl w:ilvl="1" w:tplc="D0B2DEF6" w:tentative="1">
      <w:start w:val="1"/>
      <w:numFmt w:val="bullet"/>
      <w:lvlText w:val="•"/>
      <w:lvlJc w:val="left"/>
      <w:pPr>
        <w:tabs>
          <w:tab w:val="num" w:pos="1440"/>
        </w:tabs>
        <w:ind w:left="1440" w:hanging="360"/>
      </w:pPr>
      <w:rPr>
        <w:rFonts w:ascii="Arial" w:hAnsi="Arial" w:hint="default"/>
      </w:rPr>
    </w:lvl>
    <w:lvl w:ilvl="2" w:tplc="22D80FCE" w:tentative="1">
      <w:start w:val="1"/>
      <w:numFmt w:val="bullet"/>
      <w:lvlText w:val="•"/>
      <w:lvlJc w:val="left"/>
      <w:pPr>
        <w:tabs>
          <w:tab w:val="num" w:pos="2160"/>
        </w:tabs>
        <w:ind w:left="2160" w:hanging="360"/>
      </w:pPr>
      <w:rPr>
        <w:rFonts w:ascii="Arial" w:hAnsi="Arial" w:hint="default"/>
      </w:rPr>
    </w:lvl>
    <w:lvl w:ilvl="3" w:tplc="C2B2A256" w:tentative="1">
      <w:start w:val="1"/>
      <w:numFmt w:val="bullet"/>
      <w:lvlText w:val="•"/>
      <w:lvlJc w:val="left"/>
      <w:pPr>
        <w:tabs>
          <w:tab w:val="num" w:pos="2880"/>
        </w:tabs>
        <w:ind w:left="2880" w:hanging="360"/>
      </w:pPr>
      <w:rPr>
        <w:rFonts w:ascii="Arial" w:hAnsi="Arial" w:hint="default"/>
      </w:rPr>
    </w:lvl>
    <w:lvl w:ilvl="4" w:tplc="63809CEC" w:tentative="1">
      <w:start w:val="1"/>
      <w:numFmt w:val="bullet"/>
      <w:lvlText w:val="•"/>
      <w:lvlJc w:val="left"/>
      <w:pPr>
        <w:tabs>
          <w:tab w:val="num" w:pos="3600"/>
        </w:tabs>
        <w:ind w:left="3600" w:hanging="360"/>
      </w:pPr>
      <w:rPr>
        <w:rFonts w:ascii="Arial" w:hAnsi="Arial" w:hint="default"/>
      </w:rPr>
    </w:lvl>
    <w:lvl w:ilvl="5" w:tplc="967EEB88" w:tentative="1">
      <w:start w:val="1"/>
      <w:numFmt w:val="bullet"/>
      <w:lvlText w:val="•"/>
      <w:lvlJc w:val="left"/>
      <w:pPr>
        <w:tabs>
          <w:tab w:val="num" w:pos="4320"/>
        </w:tabs>
        <w:ind w:left="4320" w:hanging="360"/>
      </w:pPr>
      <w:rPr>
        <w:rFonts w:ascii="Arial" w:hAnsi="Arial" w:hint="default"/>
      </w:rPr>
    </w:lvl>
    <w:lvl w:ilvl="6" w:tplc="48A8E75A" w:tentative="1">
      <w:start w:val="1"/>
      <w:numFmt w:val="bullet"/>
      <w:lvlText w:val="•"/>
      <w:lvlJc w:val="left"/>
      <w:pPr>
        <w:tabs>
          <w:tab w:val="num" w:pos="5040"/>
        </w:tabs>
        <w:ind w:left="5040" w:hanging="360"/>
      </w:pPr>
      <w:rPr>
        <w:rFonts w:ascii="Arial" w:hAnsi="Arial" w:hint="default"/>
      </w:rPr>
    </w:lvl>
    <w:lvl w:ilvl="7" w:tplc="16700FFC" w:tentative="1">
      <w:start w:val="1"/>
      <w:numFmt w:val="bullet"/>
      <w:lvlText w:val="•"/>
      <w:lvlJc w:val="left"/>
      <w:pPr>
        <w:tabs>
          <w:tab w:val="num" w:pos="5760"/>
        </w:tabs>
        <w:ind w:left="5760" w:hanging="360"/>
      </w:pPr>
      <w:rPr>
        <w:rFonts w:ascii="Arial" w:hAnsi="Arial" w:hint="default"/>
      </w:rPr>
    </w:lvl>
    <w:lvl w:ilvl="8" w:tplc="B85A088E" w:tentative="1">
      <w:start w:val="1"/>
      <w:numFmt w:val="bullet"/>
      <w:lvlText w:val="•"/>
      <w:lvlJc w:val="left"/>
      <w:pPr>
        <w:tabs>
          <w:tab w:val="num" w:pos="6480"/>
        </w:tabs>
        <w:ind w:left="6480" w:hanging="360"/>
      </w:pPr>
      <w:rPr>
        <w:rFonts w:ascii="Arial" w:hAnsi="Arial" w:hint="default"/>
      </w:rPr>
    </w:lvl>
  </w:abstractNum>
  <w:num w:numId="1" w16cid:durableId="1357662017">
    <w:abstractNumId w:val="0"/>
  </w:num>
  <w:num w:numId="2" w16cid:durableId="1041594151">
    <w:abstractNumId w:val="3"/>
  </w:num>
  <w:num w:numId="3" w16cid:durableId="931477099">
    <w:abstractNumId w:val="2"/>
  </w:num>
  <w:num w:numId="4" w16cid:durableId="1998917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55"/>
    <w:rsid w:val="000000EC"/>
    <w:rsid w:val="000024DF"/>
    <w:rsid w:val="000112D6"/>
    <w:rsid w:val="0002724D"/>
    <w:rsid w:val="000279F6"/>
    <w:rsid w:val="0003354D"/>
    <w:rsid w:val="00037A84"/>
    <w:rsid w:val="000428C3"/>
    <w:rsid w:val="00055591"/>
    <w:rsid w:val="00057920"/>
    <w:rsid w:val="000660D0"/>
    <w:rsid w:val="00071081"/>
    <w:rsid w:val="000729FB"/>
    <w:rsid w:val="00076D4A"/>
    <w:rsid w:val="00081810"/>
    <w:rsid w:val="00084F9A"/>
    <w:rsid w:val="0009089B"/>
    <w:rsid w:val="000925F3"/>
    <w:rsid w:val="000943D9"/>
    <w:rsid w:val="000A478D"/>
    <w:rsid w:val="000B3CE9"/>
    <w:rsid w:val="000E2DFB"/>
    <w:rsid w:val="000E649A"/>
    <w:rsid w:val="00103DC7"/>
    <w:rsid w:val="00114F49"/>
    <w:rsid w:val="001223DE"/>
    <w:rsid w:val="001315DF"/>
    <w:rsid w:val="00140F19"/>
    <w:rsid w:val="00143A6A"/>
    <w:rsid w:val="001446C9"/>
    <w:rsid w:val="00150690"/>
    <w:rsid w:val="00150D5D"/>
    <w:rsid w:val="00151C11"/>
    <w:rsid w:val="00162896"/>
    <w:rsid w:val="00173457"/>
    <w:rsid w:val="001767E9"/>
    <w:rsid w:val="0018612F"/>
    <w:rsid w:val="00187F0E"/>
    <w:rsid w:val="00191F97"/>
    <w:rsid w:val="00194530"/>
    <w:rsid w:val="001A28D8"/>
    <w:rsid w:val="001A3247"/>
    <w:rsid w:val="001A330D"/>
    <w:rsid w:val="001A6A1D"/>
    <w:rsid w:val="001B43A2"/>
    <w:rsid w:val="001B58AC"/>
    <w:rsid w:val="001B7185"/>
    <w:rsid w:val="001D3A63"/>
    <w:rsid w:val="001E0283"/>
    <w:rsid w:val="001E70CB"/>
    <w:rsid w:val="001F080A"/>
    <w:rsid w:val="001F6661"/>
    <w:rsid w:val="0020190C"/>
    <w:rsid w:val="00204213"/>
    <w:rsid w:val="002043F0"/>
    <w:rsid w:val="0020455C"/>
    <w:rsid w:val="002071BB"/>
    <w:rsid w:val="002073D8"/>
    <w:rsid w:val="002103E4"/>
    <w:rsid w:val="0024280A"/>
    <w:rsid w:val="00246179"/>
    <w:rsid w:val="00246ACA"/>
    <w:rsid w:val="002545AD"/>
    <w:rsid w:val="002549BA"/>
    <w:rsid w:val="00265421"/>
    <w:rsid w:val="00273103"/>
    <w:rsid w:val="00273546"/>
    <w:rsid w:val="00276783"/>
    <w:rsid w:val="00277A1A"/>
    <w:rsid w:val="00284C14"/>
    <w:rsid w:val="00285536"/>
    <w:rsid w:val="0029032C"/>
    <w:rsid w:val="00295947"/>
    <w:rsid w:val="002A0F29"/>
    <w:rsid w:val="002A5DC6"/>
    <w:rsid w:val="002B3CA2"/>
    <w:rsid w:val="002B7286"/>
    <w:rsid w:val="002C0898"/>
    <w:rsid w:val="002D25D6"/>
    <w:rsid w:val="002D7A1E"/>
    <w:rsid w:val="002E0D5B"/>
    <w:rsid w:val="002E1CBA"/>
    <w:rsid w:val="002F25C6"/>
    <w:rsid w:val="002F6B9E"/>
    <w:rsid w:val="002F6E85"/>
    <w:rsid w:val="00302EC2"/>
    <w:rsid w:val="003075DC"/>
    <w:rsid w:val="003101A1"/>
    <w:rsid w:val="00313B13"/>
    <w:rsid w:val="00316B58"/>
    <w:rsid w:val="003233FE"/>
    <w:rsid w:val="00332E9B"/>
    <w:rsid w:val="00336AFB"/>
    <w:rsid w:val="003375AE"/>
    <w:rsid w:val="00350D88"/>
    <w:rsid w:val="00351D17"/>
    <w:rsid w:val="003572C3"/>
    <w:rsid w:val="00375BCD"/>
    <w:rsid w:val="0039125E"/>
    <w:rsid w:val="0039647C"/>
    <w:rsid w:val="003A1D56"/>
    <w:rsid w:val="003A360E"/>
    <w:rsid w:val="003A395A"/>
    <w:rsid w:val="003B37EE"/>
    <w:rsid w:val="003B5CD7"/>
    <w:rsid w:val="003C0846"/>
    <w:rsid w:val="003C26C5"/>
    <w:rsid w:val="003C2860"/>
    <w:rsid w:val="003C3816"/>
    <w:rsid w:val="003C769B"/>
    <w:rsid w:val="003D28AA"/>
    <w:rsid w:val="003D6EED"/>
    <w:rsid w:val="003E50BB"/>
    <w:rsid w:val="003E6ACB"/>
    <w:rsid w:val="003F3D4B"/>
    <w:rsid w:val="00401334"/>
    <w:rsid w:val="004153DB"/>
    <w:rsid w:val="00425F29"/>
    <w:rsid w:val="00431825"/>
    <w:rsid w:val="00432BFA"/>
    <w:rsid w:val="00434A83"/>
    <w:rsid w:val="004445A4"/>
    <w:rsid w:val="004557ED"/>
    <w:rsid w:val="00455EE5"/>
    <w:rsid w:val="0045688D"/>
    <w:rsid w:val="00461FDC"/>
    <w:rsid w:val="00463908"/>
    <w:rsid w:val="00464ADB"/>
    <w:rsid w:val="00475A4C"/>
    <w:rsid w:val="004775AA"/>
    <w:rsid w:val="0048299E"/>
    <w:rsid w:val="00485842"/>
    <w:rsid w:val="004A01A1"/>
    <w:rsid w:val="004A29D7"/>
    <w:rsid w:val="004A5207"/>
    <w:rsid w:val="004B67B5"/>
    <w:rsid w:val="004B6FB4"/>
    <w:rsid w:val="004C3EAC"/>
    <w:rsid w:val="004C453C"/>
    <w:rsid w:val="004C7E34"/>
    <w:rsid w:val="00544474"/>
    <w:rsid w:val="0055309B"/>
    <w:rsid w:val="00557898"/>
    <w:rsid w:val="00565558"/>
    <w:rsid w:val="00574C7F"/>
    <w:rsid w:val="00575EDF"/>
    <w:rsid w:val="0058374D"/>
    <w:rsid w:val="005902AC"/>
    <w:rsid w:val="005A0780"/>
    <w:rsid w:val="005B2EC1"/>
    <w:rsid w:val="005C6823"/>
    <w:rsid w:val="005D09BC"/>
    <w:rsid w:val="005D0F19"/>
    <w:rsid w:val="005D16ED"/>
    <w:rsid w:val="005D2724"/>
    <w:rsid w:val="005D4054"/>
    <w:rsid w:val="005D5048"/>
    <w:rsid w:val="005D5CA5"/>
    <w:rsid w:val="005E2D13"/>
    <w:rsid w:val="005F054F"/>
    <w:rsid w:val="005F0B8A"/>
    <w:rsid w:val="005F14E7"/>
    <w:rsid w:val="005F4920"/>
    <w:rsid w:val="005F4F8E"/>
    <w:rsid w:val="005F6AD8"/>
    <w:rsid w:val="0060697E"/>
    <w:rsid w:val="00607245"/>
    <w:rsid w:val="0061094D"/>
    <w:rsid w:val="006113F9"/>
    <w:rsid w:val="006160F0"/>
    <w:rsid w:val="00617D17"/>
    <w:rsid w:val="00620E99"/>
    <w:rsid w:val="006221DC"/>
    <w:rsid w:val="00622243"/>
    <w:rsid w:val="00624996"/>
    <w:rsid w:val="0063162B"/>
    <w:rsid w:val="006339E7"/>
    <w:rsid w:val="0064758A"/>
    <w:rsid w:val="00652D2E"/>
    <w:rsid w:val="00653CEB"/>
    <w:rsid w:val="00660938"/>
    <w:rsid w:val="00661EAF"/>
    <w:rsid w:val="00663090"/>
    <w:rsid w:val="00663A9E"/>
    <w:rsid w:val="006666F5"/>
    <w:rsid w:val="00666CB6"/>
    <w:rsid w:val="00671680"/>
    <w:rsid w:val="00683467"/>
    <w:rsid w:val="0069046F"/>
    <w:rsid w:val="006B0CBD"/>
    <w:rsid w:val="006B4121"/>
    <w:rsid w:val="006B441F"/>
    <w:rsid w:val="006B476A"/>
    <w:rsid w:val="006B54BC"/>
    <w:rsid w:val="006C2BF7"/>
    <w:rsid w:val="006E4E86"/>
    <w:rsid w:val="006E64BD"/>
    <w:rsid w:val="006E735D"/>
    <w:rsid w:val="006F0283"/>
    <w:rsid w:val="006F3191"/>
    <w:rsid w:val="006F6A3C"/>
    <w:rsid w:val="00710D89"/>
    <w:rsid w:val="00712067"/>
    <w:rsid w:val="007145B7"/>
    <w:rsid w:val="00717205"/>
    <w:rsid w:val="00717A27"/>
    <w:rsid w:val="00720902"/>
    <w:rsid w:val="007214BB"/>
    <w:rsid w:val="007357BA"/>
    <w:rsid w:val="0074547F"/>
    <w:rsid w:val="0075237A"/>
    <w:rsid w:val="00770D0C"/>
    <w:rsid w:val="007716F8"/>
    <w:rsid w:val="00777972"/>
    <w:rsid w:val="00786CF1"/>
    <w:rsid w:val="007A3A0F"/>
    <w:rsid w:val="007B6332"/>
    <w:rsid w:val="007C3B1A"/>
    <w:rsid w:val="007C3BD2"/>
    <w:rsid w:val="007C627A"/>
    <w:rsid w:val="007D75A3"/>
    <w:rsid w:val="007E1E2E"/>
    <w:rsid w:val="007E39A0"/>
    <w:rsid w:val="007E42FD"/>
    <w:rsid w:val="007F36BA"/>
    <w:rsid w:val="007F6827"/>
    <w:rsid w:val="00800F8E"/>
    <w:rsid w:val="008030B7"/>
    <w:rsid w:val="00806314"/>
    <w:rsid w:val="00817CCB"/>
    <w:rsid w:val="00825588"/>
    <w:rsid w:val="00834337"/>
    <w:rsid w:val="008415AA"/>
    <w:rsid w:val="008509EC"/>
    <w:rsid w:val="0085358E"/>
    <w:rsid w:val="00856AC4"/>
    <w:rsid w:val="00862B6D"/>
    <w:rsid w:val="00865678"/>
    <w:rsid w:val="00871EDA"/>
    <w:rsid w:val="00872A9C"/>
    <w:rsid w:val="00883B5D"/>
    <w:rsid w:val="00883C44"/>
    <w:rsid w:val="00891B5E"/>
    <w:rsid w:val="008931F3"/>
    <w:rsid w:val="008A50BC"/>
    <w:rsid w:val="008B0C04"/>
    <w:rsid w:val="008C1569"/>
    <w:rsid w:val="008C1FA8"/>
    <w:rsid w:val="008C3962"/>
    <w:rsid w:val="008C77E1"/>
    <w:rsid w:val="008D05AC"/>
    <w:rsid w:val="008D4173"/>
    <w:rsid w:val="008D7F17"/>
    <w:rsid w:val="008E0329"/>
    <w:rsid w:val="008E1C5C"/>
    <w:rsid w:val="008F00AC"/>
    <w:rsid w:val="00901669"/>
    <w:rsid w:val="00907C77"/>
    <w:rsid w:val="00907D28"/>
    <w:rsid w:val="009118FF"/>
    <w:rsid w:val="00921027"/>
    <w:rsid w:val="0092766D"/>
    <w:rsid w:val="00927F25"/>
    <w:rsid w:val="00933D60"/>
    <w:rsid w:val="00936F51"/>
    <w:rsid w:val="00954238"/>
    <w:rsid w:val="009641C4"/>
    <w:rsid w:val="0096516D"/>
    <w:rsid w:val="00967B67"/>
    <w:rsid w:val="00974A3C"/>
    <w:rsid w:val="00976D85"/>
    <w:rsid w:val="00977DD4"/>
    <w:rsid w:val="00981EE1"/>
    <w:rsid w:val="0098737E"/>
    <w:rsid w:val="00991E96"/>
    <w:rsid w:val="009B7FAD"/>
    <w:rsid w:val="009C5C57"/>
    <w:rsid w:val="009D5288"/>
    <w:rsid w:val="009D5A13"/>
    <w:rsid w:val="009E0407"/>
    <w:rsid w:val="009E171B"/>
    <w:rsid w:val="009E58B8"/>
    <w:rsid w:val="00A000FB"/>
    <w:rsid w:val="00A069AB"/>
    <w:rsid w:val="00A15105"/>
    <w:rsid w:val="00A22247"/>
    <w:rsid w:val="00A336D3"/>
    <w:rsid w:val="00A33B5A"/>
    <w:rsid w:val="00A55624"/>
    <w:rsid w:val="00A60C2A"/>
    <w:rsid w:val="00A62FC1"/>
    <w:rsid w:val="00A6315F"/>
    <w:rsid w:val="00A63721"/>
    <w:rsid w:val="00A64EA1"/>
    <w:rsid w:val="00A67695"/>
    <w:rsid w:val="00A725C4"/>
    <w:rsid w:val="00A732B9"/>
    <w:rsid w:val="00A80A11"/>
    <w:rsid w:val="00A93B31"/>
    <w:rsid w:val="00A943B1"/>
    <w:rsid w:val="00AA6F50"/>
    <w:rsid w:val="00AB2F87"/>
    <w:rsid w:val="00AB31FE"/>
    <w:rsid w:val="00AC2102"/>
    <w:rsid w:val="00AC6024"/>
    <w:rsid w:val="00AC6792"/>
    <w:rsid w:val="00AC7396"/>
    <w:rsid w:val="00AD1F7D"/>
    <w:rsid w:val="00AD669A"/>
    <w:rsid w:val="00AD6759"/>
    <w:rsid w:val="00AF14F2"/>
    <w:rsid w:val="00AF5727"/>
    <w:rsid w:val="00B028CC"/>
    <w:rsid w:val="00B03123"/>
    <w:rsid w:val="00B20FE5"/>
    <w:rsid w:val="00B23D68"/>
    <w:rsid w:val="00B316B4"/>
    <w:rsid w:val="00B31E42"/>
    <w:rsid w:val="00B36B17"/>
    <w:rsid w:val="00B375CA"/>
    <w:rsid w:val="00B50D5A"/>
    <w:rsid w:val="00B54CF3"/>
    <w:rsid w:val="00B61626"/>
    <w:rsid w:val="00B64EEF"/>
    <w:rsid w:val="00B70D94"/>
    <w:rsid w:val="00B852B9"/>
    <w:rsid w:val="00B97533"/>
    <w:rsid w:val="00BA402B"/>
    <w:rsid w:val="00BA5386"/>
    <w:rsid w:val="00BB3241"/>
    <w:rsid w:val="00BB551C"/>
    <w:rsid w:val="00BB6E39"/>
    <w:rsid w:val="00BC1D45"/>
    <w:rsid w:val="00BC4A76"/>
    <w:rsid w:val="00BD7266"/>
    <w:rsid w:val="00BE2884"/>
    <w:rsid w:val="00BE4CF8"/>
    <w:rsid w:val="00BE5BBA"/>
    <w:rsid w:val="00BF65CB"/>
    <w:rsid w:val="00C017F1"/>
    <w:rsid w:val="00C05C67"/>
    <w:rsid w:val="00C061E2"/>
    <w:rsid w:val="00C1446E"/>
    <w:rsid w:val="00C2175A"/>
    <w:rsid w:val="00C221DD"/>
    <w:rsid w:val="00C268F1"/>
    <w:rsid w:val="00C34329"/>
    <w:rsid w:val="00C355B1"/>
    <w:rsid w:val="00C42477"/>
    <w:rsid w:val="00C53FEE"/>
    <w:rsid w:val="00C62668"/>
    <w:rsid w:val="00C670D8"/>
    <w:rsid w:val="00C71C50"/>
    <w:rsid w:val="00C76ABF"/>
    <w:rsid w:val="00C80A27"/>
    <w:rsid w:val="00C842B6"/>
    <w:rsid w:val="00C84788"/>
    <w:rsid w:val="00C91A88"/>
    <w:rsid w:val="00C956BA"/>
    <w:rsid w:val="00CA048A"/>
    <w:rsid w:val="00CA25D6"/>
    <w:rsid w:val="00CA57C9"/>
    <w:rsid w:val="00CB0515"/>
    <w:rsid w:val="00CB2EFA"/>
    <w:rsid w:val="00CD1618"/>
    <w:rsid w:val="00CE2CD7"/>
    <w:rsid w:val="00D12698"/>
    <w:rsid w:val="00D15AB6"/>
    <w:rsid w:val="00D175F6"/>
    <w:rsid w:val="00D22CC9"/>
    <w:rsid w:val="00D238CC"/>
    <w:rsid w:val="00D32D75"/>
    <w:rsid w:val="00D3388E"/>
    <w:rsid w:val="00D3448F"/>
    <w:rsid w:val="00D3581B"/>
    <w:rsid w:val="00D36EE5"/>
    <w:rsid w:val="00D42F23"/>
    <w:rsid w:val="00D42FA1"/>
    <w:rsid w:val="00D43D7A"/>
    <w:rsid w:val="00D4580D"/>
    <w:rsid w:val="00D46067"/>
    <w:rsid w:val="00D60468"/>
    <w:rsid w:val="00D72B10"/>
    <w:rsid w:val="00D76881"/>
    <w:rsid w:val="00D77E2A"/>
    <w:rsid w:val="00D814CD"/>
    <w:rsid w:val="00D817A1"/>
    <w:rsid w:val="00D918CF"/>
    <w:rsid w:val="00DA3302"/>
    <w:rsid w:val="00DA69E6"/>
    <w:rsid w:val="00DB0F2E"/>
    <w:rsid w:val="00DB339B"/>
    <w:rsid w:val="00DB3F07"/>
    <w:rsid w:val="00DC0E69"/>
    <w:rsid w:val="00DC2051"/>
    <w:rsid w:val="00DC6AE6"/>
    <w:rsid w:val="00DE2A01"/>
    <w:rsid w:val="00DF288B"/>
    <w:rsid w:val="00DF592D"/>
    <w:rsid w:val="00DF68E5"/>
    <w:rsid w:val="00E0088A"/>
    <w:rsid w:val="00E026A7"/>
    <w:rsid w:val="00E02D48"/>
    <w:rsid w:val="00E05B25"/>
    <w:rsid w:val="00E10D8B"/>
    <w:rsid w:val="00E16B8B"/>
    <w:rsid w:val="00E200EE"/>
    <w:rsid w:val="00E27BA9"/>
    <w:rsid w:val="00E316A4"/>
    <w:rsid w:val="00E360B5"/>
    <w:rsid w:val="00E40E5A"/>
    <w:rsid w:val="00E50F04"/>
    <w:rsid w:val="00E53F9D"/>
    <w:rsid w:val="00E54A42"/>
    <w:rsid w:val="00E55898"/>
    <w:rsid w:val="00E57B3D"/>
    <w:rsid w:val="00E62E79"/>
    <w:rsid w:val="00E65FB7"/>
    <w:rsid w:val="00E669A8"/>
    <w:rsid w:val="00E6755E"/>
    <w:rsid w:val="00E705E8"/>
    <w:rsid w:val="00E83DB1"/>
    <w:rsid w:val="00E8468D"/>
    <w:rsid w:val="00E85A7E"/>
    <w:rsid w:val="00E90FA9"/>
    <w:rsid w:val="00E934E4"/>
    <w:rsid w:val="00E95324"/>
    <w:rsid w:val="00E957D8"/>
    <w:rsid w:val="00E95C8C"/>
    <w:rsid w:val="00E97C82"/>
    <w:rsid w:val="00EB09FC"/>
    <w:rsid w:val="00EC1FC6"/>
    <w:rsid w:val="00EC3DD5"/>
    <w:rsid w:val="00EC6553"/>
    <w:rsid w:val="00ED458D"/>
    <w:rsid w:val="00EF6F26"/>
    <w:rsid w:val="00F02B17"/>
    <w:rsid w:val="00F067E9"/>
    <w:rsid w:val="00F108C6"/>
    <w:rsid w:val="00F23B8C"/>
    <w:rsid w:val="00F26FEE"/>
    <w:rsid w:val="00F51D33"/>
    <w:rsid w:val="00F5672B"/>
    <w:rsid w:val="00F60CD8"/>
    <w:rsid w:val="00F65BF1"/>
    <w:rsid w:val="00F676F0"/>
    <w:rsid w:val="00F83C57"/>
    <w:rsid w:val="00F86FD7"/>
    <w:rsid w:val="00F94755"/>
    <w:rsid w:val="00F94E87"/>
    <w:rsid w:val="00FA2F3C"/>
    <w:rsid w:val="00FB1324"/>
    <w:rsid w:val="00FB4916"/>
    <w:rsid w:val="00FB6681"/>
    <w:rsid w:val="00FD02B7"/>
    <w:rsid w:val="00FE1A59"/>
    <w:rsid w:val="00FE4C4E"/>
    <w:rsid w:val="01C2B5DC"/>
    <w:rsid w:val="01E3B928"/>
    <w:rsid w:val="02375FBD"/>
    <w:rsid w:val="025A2765"/>
    <w:rsid w:val="0289BEEE"/>
    <w:rsid w:val="03DA4915"/>
    <w:rsid w:val="03E68AF7"/>
    <w:rsid w:val="047C4E17"/>
    <w:rsid w:val="04F12374"/>
    <w:rsid w:val="061E63FB"/>
    <w:rsid w:val="082D8993"/>
    <w:rsid w:val="08683B30"/>
    <w:rsid w:val="08E0470E"/>
    <w:rsid w:val="0908FA00"/>
    <w:rsid w:val="096A3B95"/>
    <w:rsid w:val="09777E4C"/>
    <w:rsid w:val="09C30100"/>
    <w:rsid w:val="09F88285"/>
    <w:rsid w:val="0A205603"/>
    <w:rsid w:val="0B21F9CE"/>
    <w:rsid w:val="0BAFB0EA"/>
    <w:rsid w:val="0BD15D4A"/>
    <w:rsid w:val="0C0BCF34"/>
    <w:rsid w:val="0C48B51D"/>
    <w:rsid w:val="0C4F4D8A"/>
    <w:rsid w:val="0CAD58A6"/>
    <w:rsid w:val="0CC29DA6"/>
    <w:rsid w:val="0E514863"/>
    <w:rsid w:val="0F0C7443"/>
    <w:rsid w:val="0FB8AB9D"/>
    <w:rsid w:val="11699AA5"/>
    <w:rsid w:val="11819412"/>
    <w:rsid w:val="1412BAFD"/>
    <w:rsid w:val="144EC847"/>
    <w:rsid w:val="156362DB"/>
    <w:rsid w:val="15C2D996"/>
    <w:rsid w:val="164AED9B"/>
    <w:rsid w:val="16BAADBD"/>
    <w:rsid w:val="175EA9F7"/>
    <w:rsid w:val="18AC21AC"/>
    <w:rsid w:val="190FEF4C"/>
    <w:rsid w:val="19632F15"/>
    <w:rsid w:val="19B28466"/>
    <w:rsid w:val="19C1C2D5"/>
    <w:rsid w:val="19FA1179"/>
    <w:rsid w:val="1D0D39B7"/>
    <w:rsid w:val="1D98ED02"/>
    <w:rsid w:val="1E02FC49"/>
    <w:rsid w:val="1E4BE6EB"/>
    <w:rsid w:val="1EC88A6E"/>
    <w:rsid w:val="1F43CD2B"/>
    <w:rsid w:val="1F4865EE"/>
    <w:rsid w:val="1FE227A6"/>
    <w:rsid w:val="214A0A19"/>
    <w:rsid w:val="219D14B1"/>
    <w:rsid w:val="21E307BF"/>
    <w:rsid w:val="2281F9B2"/>
    <w:rsid w:val="22F54FE4"/>
    <w:rsid w:val="2360EA66"/>
    <w:rsid w:val="248F8B66"/>
    <w:rsid w:val="249A11AD"/>
    <w:rsid w:val="24C49141"/>
    <w:rsid w:val="253F86A7"/>
    <w:rsid w:val="25F82446"/>
    <w:rsid w:val="274AEE94"/>
    <w:rsid w:val="27B15F12"/>
    <w:rsid w:val="289DFEC8"/>
    <w:rsid w:val="28E16125"/>
    <w:rsid w:val="2A96F15B"/>
    <w:rsid w:val="2B9EC37B"/>
    <w:rsid w:val="2D393F50"/>
    <w:rsid w:val="2E024E35"/>
    <w:rsid w:val="2E275E31"/>
    <w:rsid w:val="30625356"/>
    <w:rsid w:val="30AC0FA2"/>
    <w:rsid w:val="30B30868"/>
    <w:rsid w:val="31344926"/>
    <w:rsid w:val="3145D791"/>
    <w:rsid w:val="3155E378"/>
    <w:rsid w:val="316429F2"/>
    <w:rsid w:val="31B0DB96"/>
    <w:rsid w:val="3252F4B7"/>
    <w:rsid w:val="32AFB242"/>
    <w:rsid w:val="335B04EB"/>
    <w:rsid w:val="34977D2F"/>
    <w:rsid w:val="3541D350"/>
    <w:rsid w:val="355C6C6D"/>
    <w:rsid w:val="35987651"/>
    <w:rsid w:val="359E05F7"/>
    <w:rsid w:val="35A89EDE"/>
    <w:rsid w:val="36BBC67C"/>
    <w:rsid w:val="378F0C27"/>
    <w:rsid w:val="37F0ACD3"/>
    <w:rsid w:val="388CB3BB"/>
    <w:rsid w:val="38BFAF2B"/>
    <w:rsid w:val="392F5CB2"/>
    <w:rsid w:val="39F9EB56"/>
    <w:rsid w:val="3A74F435"/>
    <w:rsid w:val="3A92F0A9"/>
    <w:rsid w:val="3A9ADE2F"/>
    <w:rsid w:val="3DA00B82"/>
    <w:rsid w:val="3DFF16D1"/>
    <w:rsid w:val="3E53E7D1"/>
    <w:rsid w:val="3EB763F2"/>
    <w:rsid w:val="3F13DFCE"/>
    <w:rsid w:val="40C86D70"/>
    <w:rsid w:val="40CACBDB"/>
    <w:rsid w:val="40EB0309"/>
    <w:rsid w:val="432BEC7B"/>
    <w:rsid w:val="4431B7B2"/>
    <w:rsid w:val="4440F62C"/>
    <w:rsid w:val="448BE168"/>
    <w:rsid w:val="449C2020"/>
    <w:rsid w:val="469EDC43"/>
    <w:rsid w:val="46BBF3D2"/>
    <w:rsid w:val="46DDF543"/>
    <w:rsid w:val="474C67D6"/>
    <w:rsid w:val="47B310A1"/>
    <w:rsid w:val="4829295A"/>
    <w:rsid w:val="49EC87CD"/>
    <w:rsid w:val="49FB941E"/>
    <w:rsid w:val="4A0FE4F7"/>
    <w:rsid w:val="4C7EF9E0"/>
    <w:rsid w:val="4DC691B4"/>
    <w:rsid w:val="4DD011D6"/>
    <w:rsid w:val="4DEFA91C"/>
    <w:rsid w:val="4EAEE7F9"/>
    <w:rsid w:val="4EF78FE6"/>
    <w:rsid w:val="4EFA526D"/>
    <w:rsid w:val="4F6891A5"/>
    <w:rsid w:val="4FF4CEC8"/>
    <w:rsid w:val="51BD6F08"/>
    <w:rsid w:val="51F8B304"/>
    <w:rsid w:val="52C73607"/>
    <w:rsid w:val="532A68FF"/>
    <w:rsid w:val="5408059B"/>
    <w:rsid w:val="54096C33"/>
    <w:rsid w:val="54DEEB88"/>
    <w:rsid w:val="561B7F21"/>
    <w:rsid w:val="566184C9"/>
    <w:rsid w:val="57208F85"/>
    <w:rsid w:val="5739D778"/>
    <w:rsid w:val="574FEAE7"/>
    <w:rsid w:val="57606DE6"/>
    <w:rsid w:val="578765A5"/>
    <w:rsid w:val="586B4E87"/>
    <w:rsid w:val="59064F03"/>
    <w:rsid w:val="5929D526"/>
    <w:rsid w:val="595000B7"/>
    <w:rsid w:val="597F4D33"/>
    <w:rsid w:val="5AC0E6FD"/>
    <w:rsid w:val="5B54AA0E"/>
    <w:rsid w:val="5E188FF7"/>
    <w:rsid w:val="5E79E109"/>
    <w:rsid w:val="5FD4ABF2"/>
    <w:rsid w:val="5FE34704"/>
    <w:rsid w:val="5FF1FDD7"/>
    <w:rsid w:val="6024C132"/>
    <w:rsid w:val="614F9941"/>
    <w:rsid w:val="61ACCD21"/>
    <w:rsid w:val="6244FDD6"/>
    <w:rsid w:val="62539AEC"/>
    <w:rsid w:val="628CE2D2"/>
    <w:rsid w:val="63538D5A"/>
    <w:rsid w:val="63768670"/>
    <w:rsid w:val="641B3ADA"/>
    <w:rsid w:val="64E392E7"/>
    <w:rsid w:val="65B35B7C"/>
    <w:rsid w:val="66B9AB25"/>
    <w:rsid w:val="6730F1D3"/>
    <w:rsid w:val="67CFE3C6"/>
    <w:rsid w:val="68CB6073"/>
    <w:rsid w:val="69DF6F00"/>
    <w:rsid w:val="6A165CE5"/>
    <w:rsid w:val="6A63DA09"/>
    <w:rsid w:val="6BBB889B"/>
    <w:rsid w:val="6BE940A2"/>
    <w:rsid w:val="6C96AAF1"/>
    <w:rsid w:val="6C9D38C2"/>
    <w:rsid w:val="6D25BAE3"/>
    <w:rsid w:val="6DBB1164"/>
    <w:rsid w:val="6DBC76E8"/>
    <w:rsid w:val="6DEC3758"/>
    <w:rsid w:val="6E14C216"/>
    <w:rsid w:val="6E72700A"/>
    <w:rsid w:val="6E7AAA31"/>
    <w:rsid w:val="701A4F98"/>
    <w:rsid w:val="70810D41"/>
    <w:rsid w:val="708D4F68"/>
    <w:rsid w:val="718589E8"/>
    <w:rsid w:val="7185A3FE"/>
    <w:rsid w:val="71BBBCFB"/>
    <w:rsid w:val="739B555B"/>
    <w:rsid w:val="740874D2"/>
    <w:rsid w:val="743A474E"/>
    <w:rsid w:val="746A9ECF"/>
    <w:rsid w:val="750C95E2"/>
    <w:rsid w:val="750E37BA"/>
    <w:rsid w:val="751514B5"/>
    <w:rsid w:val="75B2B6F5"/>
    <w:rsid w:val="765FD2BC"/>
    <w:rsid w:val="76606A34"/>
    <w:rsid w:val="766B1181"/>
    <w:rsid w:val="77715098"/>
    <w:rsid w:val="77906D42"/>
    <w:rsid w:val="77E8F205"/>
    <w:rsid w:val="781861E7"/>
    <w:rsid w:val="78227A7C"/>
    <w:rsid w:val="78698631"/>
    <w:rsid w:val="78DCFC49"/>
    <w:rsid w:val="79A69FEC"/>
    <w:rsid w:val="79B39AD0"/>
    <w:rsid w:val="7A7C26A9"/>
    <w:rsid w:val="7AA200EE"/>
    <w:rsid w:val="7AF66C4C"/>
    <w:rsid w:val="7B418A59"/>
    <w:rsid w:val="7B62073E"/>
    <w:rsid w:val="7BA40960"/>
    <w:rsid w:val="7BACF305"/>
    <w:rsid w:val="7C58650A"/>
    <w:rsid w:val="7CA216BE"/>
    <w:rsid w:val="7CF57C72"/>
    <w:rsid w:val="7EA75A75"/>
    <w:rsid w:val="7F2FE3AA"/>
    <w:rsid w:val="7F8CE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D24D"/>
  <w15:chartTrackingRefBased/>
  <w15:docId w15:val="{882066E6-99FE-463F-A12B-1576A141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1A59"/>
    <w:pPr>
      <w:ind w:left="720"/>
      <w:contextualSpacing/>
    </w:pPr>
  </w:style>
  <w:style w:type="character" w:styleId="Marquedecommentaire">
    <w:name w:val="annotation reference"/>
    <w:basedOn w:val="Policepardfaut"/>
    <w:uiPriority w:val="99"/>
    <w:semiHidden/>
    <w:unhideWhenUsed/>
    <w:rsid w:val="003101A1"/>
    <w:rPr>
      <w:sz w:val="16"/>
      <w:szCs w:val="16"/>
    </w:rPr>
  </w:style>
  <w:style w:type="paragraph" w:styleId="Commentaire">
    <w:name w:val="annotation text"/>
    <w:basedOn w:val="Normal"/>
    <w:link w:val="CommentaireCar"/>
    <w:uiPriority w:val="99"/>
    <w:unhideWhenUsed/>
    <w:rsid w:val="003101A1"/>
    <w:pPr>
      <w:spacing w:line="240" w:lineRule="auto"/>
    </w:pPr>
    <w:rPr>
      <w:sz w:val="20"/>
      <w:szCs w:val="20"/>
    </w:rPr>
  </w:style>
  <w:style w:type="character" w:customStyle="1" w:styleId="CommentaireCar">
    <w:name w:val="Commentaire Car"/>
    <w:basedOn w:val="Policepardfaut"/>
    <w:link w:val="Commentaire"/>
    <w:uiPriority w:val="99"/>
    <w:rsid w:val="003101A1"/>
    <w:rPr>
      <w:sz w:val="20"/>
      <w:szCs w:val="20"/>
    </w:rPr>
  </w:style>
  <w:style w:type="paragraph" w:styleId="Objetducommentaire">
    <w:name w:val="annotation subject"/>
    <w:basedOn w:val="Commentaire"/>
    <w:next w:val="Commentaire"/>
    <w:link w:val="ObjetducommentaireCar"/>
    <w:uiPriority w:val="99"/>
    <w:semiHidden/>
    <w:unhideWhenUsed/>
    <w:rsid w:val="003101A1"/>
    <w:rPr>
      <w:b/>
      <w:bCs/>
    </w:rPr>
  </w:style>
  <w:style w:type="character" w:customStyle="1" w:styleId="ObjetducommentaireCar">
    <w:name w:val="Objet du commentaire Car"/>
    <w:basedOn w:val="CommentaireCar"/>
    <w:link w:val="Objetducommentaire"/>
    <w:uiPriority w:val="99"/>
    <w:semiHidden/>
    <w:rsid w:val="003101A1"/>
    <w:rPr>
      <w:b/>
      <w:bCs/>
      <w:sz w:val="20"/>
      <w:szCs w:val="20"/>
    </w:rPr>
  </w:style>
  <w:style w:type="paragraph" w:styleId="Rvision">
    <w:name w:val="Revision"/>
    <w:hidden/>
    <w:uiPriority w:val="99"/>
    <w:semiHidden/>
    <w:rsid w:val="0060697E"/>
    <w:pPr>
      <w:spacing w:after="0" w:line="240" w:lineRule="auto"/>
    </w:pPr>
  </w:style>
  <w:style w:type="character" w:styleId="Mention">
    <w:name w:val="Mention"/>
    <w:basedOn w:val="Policepardfaut"/>
    <w:uiPriority w:val="99"/>
    <w:unhideWhenUsed/>
    <w:rsid w:val="00FB66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619">
      <w:bodyDiv w:val="1"/>
      <w:marLeft w:val="0"/>
      <w:marRight w:val="0"/>
      <w:marTop w:val="0"/>
      <w:marBottom w:val="0"/>
      <w:divBdr>
        <w:top w:val="none" w:sz="0" w:space="0" w:color="auto"/>
        <w:left w:val="none" w:sz="0" w:space="0" w:color="auto"/>
        <w:bottom w:val="none" w:sz="0" w:space="0" w:color="auto"/>
        <w:right w:val="none" w:sz="0" w:space="0" w:color="auto"/>
      </w:divBdr>
    </w:div>
    <w:div w:id="55053797">
      <w:bodyDiv w:val="1"/>
      <w:marLeft w:val="0"/>
      <w:marRight w:val="0"/>
      <w:marTop w:val="0"/>
      <w:marBottom w:val="0"/>
      <w:divBdr>
        <w:top w:val="none" w:sz="0" w:space="0" w:color="auto"/>
        <w:left w:val="none" w:sz="0" w:space="0" w:color="auto"/>
        <w:bottom w:val="none" w:sz="0" w:space="0" w:color="auto"/>
        <w:right w:val="none" w:sz="0" w:space="0" w:color="auto"/>
      </w:divBdr>
    </w:div>
    <w:div w:id="722680159">
      <w:bodyDiv w:val="1"/>
      <w:marLeft w:val="0"/>
      <w:marRight w:val="0"/>
      <w:marTop w:val="0"/>
      <w:marBottom w:val="0"/>
      <w:divBdr>
        <w:top w:val="none" w:sz="0" w:space="0" w:color="auto"/>
        <w:left w:val="none" w:sz="0" w:space="0" w:color="auto"/>
        <w:bottom w:val="none" w:sz="0" w:space="0" w:color="auto"/>
        <w:right w:val="none" w:sz="0" w:space="0" w:color="auto"/>
      </w:divBdr>
      <w:divsChild>
        <w:div w:id="136723899">
          <w:marLeft w:val="288"/>
          <w:marRight w:val="0"/>
          <w:marTop w:val="200"/>
          <w:marBottom w:val="0"/>
          <w:divBdr>
            <w:top w:val="none" w:sz="0" w:space="0" w:color="auto"/>
            <w:left w:val="none" w:sz="0" w:space="0" w:color="auto"/>
            <w:bottom w:val="none" w:sz="0" w:space="0" w:color="auto"/>
            <w:right w:val="none" w:sz="0" w:space="0" w:color="auto"/>
          </w:divBdr>
        </w:div>
        <w:div w:id="897477881">
          <w:marLeft w:val="288"/>
          <w:marRight w:val="0"/>
          <w:marTop w:val="200"/>
          <w:marBottom w:val="0"/>
          <w:divBdr>
            <w:top w:val="none" w:sz="0" w:space="0" w:color="auto"/>
            <w:left w:val="none" w:sz="0" w:space="0" w:color="auto"/>
            <w:bottom w:val="none" w:sz="0" w:space="0" w:color="auto"/>
            <w:right w:val="none" w:sz="0" w:space="0" w:color="auto"/>
          </w:divBdr>
        </w:div>
        <w:div w:id="1928346757">
          <w:marLeft w:val="288"/>
          <w:marRight w:val="0"/>
          <w:marTop w:val="200"/>
          <w:marBottom w:val="0"/>
          <w:divBdr>
            <w:top w:val="none" w:sz="0" w:space="0" w:color="auto"/>
            <w:left w:val="none" w:sz="0" w:space="0" w:color="auto"/>
            <w:bottom w:val="none" w:sz="0" w:space="0" w:color="auto"/>
            <w:right w:val="none" w:sz="0" w:space="0" w:color="auto"/>
          </w:divBdr>
        </w:div>
      </w:divsChild>
    </w:div>
    <w:div w:id="1226067688">
      <w:bodyDiv w:val="1"/>
      <w:marLeft w:val="0"/>
      <w:marRight w:val="0"/>
      <w:marTop w:val="0"/>
      <w:marBottom w:val="0"/>
      <w:divBdr>
        <w:top w:val="none" w:sz="0" w:space="0" w:color="auto"/>
        <w:left w:val="none" w:sz="0" w:space="0" w:color="auto"/>
        <w:bottom w:val="none" w:sz="0" w:space="0" w:color="auto"/>
        <w:right w:val="none" w:sz="0" w:space="0" w:color="auto"/>
      </w:divBdr>
    </w:div>
    <w:div w:id="1460412918">
      <w:bodyDiv w:val="1"/>
      <w:marLeft w:val="0"/>
      <w:marRight w:val="0"/>
      <w:marTop w:val="0"/>
      <w:marBottom w:val="0"/>
      <w:divBdr>
        <w:top w:val="none" w:sz="0" w:space="0" w:color="auto"/>
        <w:left w:val="none" w:sz="0" w:space="0" w:color="auto"/>
        <w:bottom w:val="none" w:sz="0" w:space="0" w:color="auto"/>
        <w:right w:val="none" w:sz="0" w:space="0" w:color="auto"/>
      </w:divBdr>
      <w:divsChild>
        <w:div w:id="1744989607">
          <w:marLeft w:val="446"/>
          <w:marRight w:val="0"/>
          <w:marTop w:val="0"/>
          <w:marBottom w:val="0"/>
          <w:divBdr>
            <w:top w:val="none" w:sz="0" w:space="0" w:color="auto"/>
            <w:left w:val="none" w:sz="0" w:space="0" w:color="auto"/>
            <w:bottom w:val="none" w:sz="0" w:space="0" w:color="auto"/>
            <w:right w:val="none" w:sz="0" w:space="0" w:color="auto"/>
          </w:divBdr>
        </w:div>
      </w:divsChild>
    </w:div>
    <w:div w:id="1792822601">
      <w:bodyDiv w:val="1"/>
      <w:marLeft w:val="0"/>
      <w:marRight w:val="0"/>
      <w:marTop w:val="0"/>
      <w:marBottom w:val="0"/>
      <w:divBdr>
        <w:top w:val="none" w:sz="0" w:space="0" w:color="auto"/>
        <w:left w:val="none" w:sz="0" w:space="0" w:color="auto"/>
        <w:bottom w:val="none" w:sz="0" w:space="0" w:color="auto"/>
        <w:right w:val="none" w:sz="0" w:space="0" w:color="auto"/>
      </w:divBdr>
    </w:div>
    <w:div w:id="201741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maisondulait-my.sharepoint.com/personal/cpuvilland_int_maisondulait_fr/Documents/Documents/graph%20inflation%20conso.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600"/>
              <a:t>Variation</a:t>
            </a:r>
            <a:r>
              <a:rPr lang="fr-FR" sz="1600" baseline="0"/>
              <a:t> de la consommation de produits laitiers bio (12 mois glissant en Eq lait) et de l' inflation en France</a:t>
            </a:r>
          </a:p>
          <a:p>
            <a:pPr>
              <a:defRPr/>
            </a:pPr>
            <a:r>
              <a:rPr lang="fr-FR" sz="1200" baseline="0"/>
              <a:t>Source: CNIEL, d'après INSEE, Kantar et IRI </a:t>
            </a:r>
            <a:endParaRPr lang="fr-FR" sz="1200"/>
          </a:p>
        </c:rich>
      </c:tx>
      <c:layout>
        <c:manualLayout>
          <c:xMode val="edge"/>
          <c:yMode val="edge"/>
          <c:x val="0.14063732790048519"/>
          <c:y val="1.365324694638502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8.7816825970530185E-2"/>
          <c:y val="0.14543033534516803"/>
          <c:w val="0.87371472650206505"/>
          <c:h val="0.58509792643145664"/>
        </c:manualLayout>
      </c:layout>
      <c:barChart>
        <c:barDir val="col"/>
        <c:grouping val="clustered"/>
        <c:varyColors val="0"/>
        <c:ser>
          <c:idx val="1"/>
          <c:order val="1"/>
          <c:tx>
            <c:v>Evolution consommation bio N/N-1</c:v>
          </c:tx>
          <c:spPr>
            <a:solidFill>
              <a:srgbClr val="00B050"/>
            </a:solidFill>
            <a:ln>
              <a:noFill/>
            </a:ln>
            <a:effectLst/>
          </c:spPr>
          <c:invertIfNegative val="0"/>
          <c:cat>
            <c:strRef>
              <c:f>'[graph inflation conso.xlsx]Feuil1'!$A$14:$A$63</c:f>
              <c:strCache>
                <c:ptCount val="50"/>
                <c:pt idx="0">
                  <c:v>P 01_19</c:v>
                </c:pt>
                <c:pt idx="1">
                  <c:v>P 02_19</c:v>
                </c:pt>
                <c:pt idx="2">
                  <c:v>P 03_19</c:v>
                </c:pt>
                <c:pt idx="3">
                  <c:v>P 04_19</c:v>
                </c:pt>
                <c:pt idx="4">
                  <c:v>P 05_19</c:v>
                </c:pt>
                <c:pt idx="5">
                  <c:v>P 06_19</c:v>
                </c:pt>
                <c:pt idx="6">
                  <c:v>P 07_19</c:v>
                </c:pt>
                <c:pt idx="7">
                  <c:v>P08_19</c:v>
                </c:pt>
                <c:pt idx="8">
                  <c:v>P09_19</c:v>
                </c:pt>
                <c:pt idx="9">
                  <c:v>P10_19</c:v>
                </c:pt>
                <c:pt idx="10">
                  <c:v>P11_19</c:v>
                </c:pt>
                <c:pt idx="11">
                  <c:v>P12_19</c:v>
                </c:pt>
                <c:pt idx="12">
                  <c:v>P01_20</c:v>
                </c:pt>
                <c:pt idx="13">
                  <c:v>P02_20</c:v>
                </c:pt>
                <c:pt idx="14">
                  <c:v>P03_20</c:v>
                </c:pt>
                <c:pt idx="15">
                  <c:v>P04_20</c:v>
                </c:pt>
                <c:pt idx="16">
                  <c:v>P05_20</c:v>
                </c:pt>
                <c:pt idx="17">
                  <c:v>P06_20</c:v>
                </c:pt>
                <c:pt idx="18">
                  <c:v>P07_20</c:v>
                </c:pt>
                <c:pt idx="19">
                  <c:v>P08_20</c:v>
                </c:pt>
                <c:pt idx="20">
                  <c:v>P09_20</c:v>
                </c:pt>
                <c:pt idx="21">
                  <c:v>P10_20</c:v>
                </c:pt>
                <c:pt idx="22">
                  <c:v>P11_20</c:v>
                </c:pt>
                <c:pt idx="23">
                  <c:v>P12_20</c:v>
                </c:pt>
                <c:pt idx="24">
                  <c:v>P01_21</c:v>
                </c:pt>
                <c:pt idx="25">
                  <c:v>P02_21</c:v>
                </c:pt>
                <c:pt idx="26">
                  <c:v>P03_21</c:v>
                </c:pt>
                <c:pt idx="27">
                  <c:v>P04_21</c:v>
                </c:pt>
                <c:pt idx="28">
                  <c:v>P05_21</c:v>
                </c:pt>
                <c:pt idx="29">
                  <c:v>P06_21</c:v>
                </c:pt>
                <c:pt idx="30">
                  <c:v>P07_21</c:v>
                </c:pt>
                <c:pt idx="31">
                  <c:v>P08_21</c:v>
                </c:pt>
                <c:pt idx="32">
                  <c:v>P09_21</c:v>
                </c:pt>
                <c:pt idx="33">
                  <c:v>P10_21</c:v>
                </c:pt>
                <c:pt idx="34">
                  <c:v>P11_21</c:v>
                </c:pt>
                <c:pt idx="35">
                  <c:v>P12_21</c:v>
                </c:pt>
                <c:pt idx="36">
                  <c:v>P13_21</c:v>
                </c:pt>
                <c:pt idx="37">
                  <c:v>P01_22</c:v>
                </c:pt>
                <c:pt idx="38">
                  <c:v>P02_22</c:v>
                </c:pt>
                <c:pt idx="39">
                  <c:v>P03_22</c:v>
                </c:pt>
                <c:pt idx="40">
                  <c:v>P04_22</c:v>
                </c:pt>
                <c:pt idx="41">
                  <c:v>P05_22</c:v>
                </c:pt>
                <c:pt idx="42">
                  <c:v>P06_22</c:v>
                </c:pt>
                <c:pt idx="43">
                  <c:v>P07_22</c:v>
                </c:pt>
                <c:pt idx="44">
                  <c:v>P08_22</c:v>
                </c:pt>
                <c:pt idx="45">
                  <c:v>P09_22</c:v>
                </c:pt>
                <c:pt idx="46">
                  <c:v>P10_22</c:v>
                </c:pt>
                <c:pt idx="47">
                  <c:v>P11_22</c:v>
                </c:pt>
                <c:pt idx="48">
                  <c:v>P12_22</c:v>
                </c:pt>
                <c:pt idx="49">
                  <c:v>P01_23</c:v>
                </c:pt>
              </c:strCache>
            </c:strRef>
          </c:cat>
          <c:val>
            <c:numRef>
              <c:f>'[graph inflation conso.xlsx]Feuil1'!$C$14:$C$63</c:f>
              <c:numCache>
                <c:formatCode>0%</c:formatCode>
                <c:ptCount val="50"/>
                <c:pt idx="0">
                  <c:v>0.21660527944153052</c:v>
                </c:pt>
                <c:pt idx="1">
                  <c:v>0.1954566028652438</c:v>
                </c:pt>
                <c:pt idx="2">
                  <c:v>0.18776183102209254</c:v>
                </c:pt>
                <c:pt idx="3">
                  <c:v>0.178326966579057</c:v>
                </c:pt>
                <c:pt idx="4">
                  <c:v>0.17542078976883579</c:v>
                </c:pt>
                <c:pt idx="5">
                  <c:v>0.16997617781288721</c:v>
                </c:pt>
                <c:pt idx="6">
                  <c:v>0.16627091836887464</c:v>
                </c:pt>
                <c:pt idx="7">
                  <c:v>0.16803770575680965</c:v>
                </c:pt>
                <c:pt idx="8">
                  <c:v>0.16694184064976492</c:v>
                </c:pt>
                <c:pt idx="9">
                  <c:v>0.16320690043261199</c:v>
                </c:pt>
                <c:pt idx="10">
                  <c:v>0.15759163863961145</c:v>
                </c:pt>
                <c:pt idx="11">
                  <c:v>0.14748650886521242</c:v>
                </c:pt>
                <c:pt idx="12">
                  <c:v>0.13326055846436935</c:v>
                </c:pt>
                <c:pt idx="13">
                  <c:v>0.12448648701381071</c:v>
                </c:pt>
                <c:pt idx="14">
                  <c:v>0.10303253931973178</c:v>
                </c:pt>
                <c:pt idx="15">
                  <c:v>9.6559611497576858E-2</c:v>
                </c:pt>
                <c:pt idx="16">
                  <c:v>0.1140301219451787</c:v>
                </c:pt>
                <c:pt idx="17">
                  <c:v>0.10658984329958998</c:v>
                </c:pt>
                <c:pt idx="18">
                  <c:v>0.10064343347448679</c:v>
                </c:pt>
                <c:pt idx="19">
                  <c:v>8.6287972227562904E-2</c:v>
                </c:pt>
                <c:pt idx="20">
                  <c:v>7.2016935879171573E-2</c:v>
                </c:pt>
                <c:pt idx="21">
                  <c:v>6.2262394746704697E-2</c:v>
                </c:pt>
                <c:pt idx="22">
                  <c:v>6.6843738098105954E-2</c:v>
                </c:pt>
                <c:pt idx="23">
                  <c:v>5.9959697378840326E-2</c:v>
                </c:pt>
                <c:pt idx="24">
                  <c:v>6.329112035100537E-2</c:v>
                </c:pt>
                <c:pt idx="25">
                  <c:v>6.0507974069310411E-2</c:v>
                </c:pt>
                <c:pt idx="26">
                  <c:v>6.2254117885071292E-2</c:v>
                </c:pt>
                <c:pt idx="27">
                  <c:v>6.1052436984685432E-2</c:v>
                </c:pt>
                <c:pt idx="28">
                  <c:v>3.1997842255815812E-2</c:v>
                </c:pt>
                <c:pt idx="29">
                  <c:v>2.949276793023925E-3</c:v>
                </c:pt>
                <c:pt idx="30">
                  <c:v>-1.1244740038798495E-2</c:v>
                </c:pt>
                <c:pt idx="31">
                  <c:v>-1.5953973763143559E-2</c:v>
                </c:pt>
                <c:pt idx="32">
                  <c:v>-1.6876528282617986E-2</c:v>
                </c:pt>
                <c:pt idx="33">
                  <c:v>-2.2792689052268611E-2</c:v>
                </c:pt>
                <c:pt idx="34">
                  <c:v>-3.847307799844546E-2</c:v>
                </c:pt>
                <c:pt idx="35">
                  <c:v>-4.3863641557488564E-2</c:v>
                </c:pt>
                <c:pt idx="36">
                  <c:v>-5.7955547139623476E-2</c:v>
                </c:pt>
                <c:pt idx="37">
                  <c:v>-7.3629208450810779E-2</c:v>
                </c:pt>
                <c:pt idx="38">
                  <c:v>-7.6247227631377701E-2</c:v>
                </c:pt>
                <c:pt idx="39">
                  <c:v>-8.5735744839415928E-2</c:v>
                </c:pt>
                <c:pt idx="40">
                  <c:v>-9.4609389955202627E-2</c:v>
                </c:pt>
                <c:pt idx="41">
                  <c:v>-8.1118393431616642E-2</c:v>
                </c:pt>
                <c:pt idx="42">
                  <c:v>-8.4903885665730705E-2</c:v>
                </c:pt>
                <c:pt idx="43">
                  <c:v>-9.2208633589873301E-2</c:v>
                </c:pt>
                <c:pt idx="44">
                  <c:v>-9.8927009013976885E-2</c:v>
                </c:pt>
                <c:pt idx="45">
                  <c:v>-0.10044637039700599</c:v>
                </c:pt>
                <c:pt idx="46">
                  <c:v>-0.10326473612925713</c:v>
                </c:pt>
                <c:pt idx="47">
                  <c:v>-0.10440371373124024</c:v>
                </c:pt>
                <c:pt idx="48">
                  <c:v>-0.10561459671464224</c:v>
                </c:pt>
                <c:pt idx="49">
                  <c:v>-9.7890469451619833E-2</c:v>
                </c:pt>
              </c:numCache>
            </c:numRef>
          </c:val>
          <c:extLst>
            <c:ext xmlns:c16="http://schemas.microsoft.com/office/drawing/2014/chart" uri="{C3380CC4-5D6E-409C-BE32-E72D297353CC}">
              <c16:uniqueId val="{00000000-2761-490D-8604-1D603CCD7CD9}"/>
            </c:ext>
          </c:extLst>
        </c:ser>
        <c:ser>
          <c:idx val="3"/>
          <c:order val="3"/>
          <c:tx>
            <c:v>Taux d'inflation</c:v>
          </c:tx>
          <c:spPr>
            <a:solidFill>
              <a:srgbClr val="C00000"/>
            </a:solidFill>
            <a:ln>
              <a:noFill/>
            </a:ln>
            <a:effectLst/>
          </c:spPr>
          <c:invertIfNegative val="0"/>
          <c:cat>
            <c:strRef>
              <c:f>'[graph inflation conso.xlsx]Feuil1'!$A$14:$A$63</c:f>
              <c:strCache>
                <c:ptCount val="50"/>
                <c:pt idx="0">
                  <c:v>P 01_19</c:v>
                </c:pt>
                <c:pt idx="1">
                  <c:v>P 02_19</c:v>
                </c:pt>
                <c:pt idx="2">
                  <c:v>P 03_19</c:v>
                </c:pt>
                <c:pt idx="3">
                  <c:v>P 04_19</c:v>
                </c:pt>
                <c:pt idx="4">
                  <c:v>P 05_19</c:v>
                </c:pt>
                <c:pt idx="5">
                  <c:v>P 06_19</c:v>
                </c:pt>
                <c:pt idx="6">
                  <c:v>P 07_19</c:v>
                </c:pt>
                <c:pt idx="7">
                  <c:v>P08_19</c:v>
                </c:pt>
                <c:pt idx="8">
                  <c:v>P09_19</c:v>
                </c:pt>
                <c:pt idx="9">
                  <c:v>P10_19</c:v>
                </c:pt>
                <c:pt idx="10">
                  <c:v>P11_19</c:v>
                </c:pt>
                <c:pt idx="11">
                  <c:v>P12_19</c:v>
                </c:pt>
                <c:pt idx="12">
                  <c:v>P01_20</c:v>
                </c:pt>
                <c:pt idx="13">
                  <c:v>P02_20</c:v>
                </c:pt>
                <c:pt idx="14">
                  <c:v>P03_20</c:v>
                </c:pt>
                <c:pt idx="15">
                  <c:v>P04_20</c:v>
                </c:pt>
                <c:pt idx="16">
                  <c:v>P05_20</c:v>
                </c:pt>
                <c:pt idx="17">
                  <c:v>P06_20</c:v>
                </c:pt>
                <c:pt idx="18">
                  <c:v>P07_20</c:v>
                </c:pt>
                <c:pt idx="19">
                  <c:v>P08_20</c:v>
                </c:pt>
                <c:pt idx="20">
                  <c:v>P09_20</c:v>
                </c:pt>
                <c:pt idx="21">
                  <c:v>P10_20</c:v>
                </c:pt>
                <c:pt idx="22">
                  <c:v>P11_20</c:v>
                </c:pt>
                <c:pt idx="23">
                  <c:v>P12_20</c:v>
                </c:pt>
                <c:pt idx="24">
                  <c:v>P01_21</c:v>
                </c:pt>
                <c:pt idx="25">
                  <c:v>P02_21</c:v>
                </c:pt>
                <c:pt idx="26">
                  <c:v>P03_21</c:v>
                </c:pt>
                <c:pt idx="27">
                  <c:v>P04_21</c:v>
                </c:pt>
                <c:pt idx="28">
                  <c:v>P05_21</c:v>
                </c:pt>
                <c:pt idx="29">
                  <c:v>P06_21</c:v>
                </c:pt>
                <c:pt idx="30">
                  <c:v>P07_21</c:v>
                </c:pt>
                <c:pt idx="31">
                  <c:v>P08_21</c:v>
                </c:pt>
                <c:pt idx="32">
                  <c:v>P09_21</c:v>
                </c:pt>
                <c:pt idx="33">
                  <c:v>P10_21</c:v>
                </c:pt>
                <c:pt idx="34">
                  <c:v>P11_21</c:v>
                </c:pt>
                <c:pt idx="35">
                  <c:v>P12_21</c:v>
                </c:pt>
                <c:pt idx="36">
                  <c:v>P13_21</c:v>
                </c:pt>
                <c:pt idx="37">
                  <c:v>P01_22</c:v>
                </c:pt>
                <c:pt idx="38">
                  <c:v>P02_22</c:v>
                </c:pt>
                <c:pt idx="39">
                  <c:v>P03_22</c:v>
                </c:pt>
                <c:pt idx="40">
                  <c:v>P04_22</c:v>
                </c:pt>
                <c:pt idx="41">
                  <c:v>P05_22</c:v>
                </c:pt>
                <c:pt idx="42">
                  <c:v>P06_22</c:v>
                </c:pt>
                <c:pt idx="43">
                  <c:v>P07_22</c:v>
                </c:pt>
                <c:pt idx="44">
                  <c:v>P08_22</c:v>
                </c:pt>
                <c:pt idx="45">
                  <c:v>P09_22</c:v>
                </c:pt>
                <c:pt idx="46">
                  <c:v>P10_22</c:v>
                </c:pt>
                <c:pt idx="47">
                  <c:v>P11_22</c:v>
                </c:pt>
                <c:pt idx="48">
                  <c:v>P12_22</c:v>
                </c:pt>
                <c:pt idx="49">
                  <c:v>P01_23</c:v>
                </c:pt>
              </c:strCache>
            </c:strRef>
          </c:cat>
          <c:val>
            <c:numRef>
              <c:f>'[graph inflation conso.xlsx]Feuil1'!$E$14:$E$63</c:f>
              <c:numCache>
                <c:formatCode>0%</c:formatCode>
                <c:ptCount val="50"/>
                <c:pt idx="0">
                  <c:v>1.2E-2</c:v>
                </c:pt>
                <c:pt idx="1">
                  <c:v>1.3000000000000001E-2</c:v>
                </c:pt>
                <c:pt idx="2">
                  <c:v>1.1000000000000001E-2</c:v>
                </c:pt>
                <c:pt idx="3">
                  <c:v>1.3000000000000001E-2</c:v>
                </c:pt>
                <c:pt idx="4">
                  <c:v>9.0000000000000011E-3</c:v>
                </c:pt>
                <c:pt idx="5">
                  <c:v>1.2E-2</c:v>
                </c:pt>
                <c:pt idx="6">
                  <c:v>1.1000000000000001E-2</c:v>
                </c:pt>
                <c:pt idx="7">
                  <c:v>0.01</c:v>
                </c:pt>
                <c:pt idx="8">
                  <c:v>9.0000000000000011E-3</c:v>
                </c:pt>
                <c:pt idx="9">
                  <c:v>8.0000000000000002E-3</c:v>
                </c:pt>
                <c:pt idx="10">
                  <c:v>0.01</c:v>
                </c:pt>
                <c:pt idx="11">
                  <c:v>1.4999999999999999E-2</c:v>
                </c:pt>
                <c:pt idx="12">
                  <c:v>1.4999999999999999E-2</c:v>
                </c:pt>
                <c:pt idx="13">
                  <c:v>1.3999999999999999E-2</c:v>
                </c:pt>
                <c:pt idx="14">
                  <c:v>6.9999999999999993E-3</c:v>
                </c:pt>
                <c:pt idx="15">
                  <c:v>3.0000000000000001E-3</c:v>
                </c:pt>
                <c:pt idx="16">
                  <c:v>4.0000000000000001E-3</c:v>
                </c:pt>
                <c:pt idx="17">
                  <c:v>2E-3</c:v>
                </c:pt>
                <c:pt idx="18">
                  <c:v>8.0000000000000002E-3</c:v>
                </c:pt>
                <c:pt idx="19">
                  <c:v>2E-3</c:v>
                </c:pt>
                <c:pt idx="20">
                  <c:v>0</c:v>
                </c:pt>
                <c:pt idx="21">
                  <c:v>0</c:v>
                </c:pt>
                <c:pt idx="22">
                  <c:v>2E-3</c:v>
                </c:pt>
                <c:pt idx="23">
                  <c:v>0</c:v>
                </c:pt>
                <c:pt idx="24">
                  <c:v>6.0000000000000001E-3</c:v>
                </c:pt>
                <c:pt idx="25">
                  <c:v>6.0000000000000001E-3</c:v>
                </c:pt>
                <c:pt idx="26">
                  <c:v>1.1000000000000001E-2</c:v>
                </c:pt>
                <c:pt idx="27">
                  <c:v>1.2E-2</c:v>
                </c:pt>
                <c:pt idx="28">
                  <c:v>1.3999999999999999E-2</c:v>
                </c:pt>
                <c:pt idx="29">
                  <c:v>1.4999999999999999E-2</c:v>
                </c:pt>
                <c:pt idx="30">
                  <c:v>1.2E-2</c:v>
                </c:pt>
                <c:pt idx="31">
                  <c:v>1.9E-2</c:v>
                </c:pt>
                <c:pt idx="32">
                  <c:v>2.2000000000000002E-2</c:v>
                </c:pt>
                <c:pt idx="33">
                  <c:v>2.6000000000000002E-2</c:v>
                </c:pt>
                <c:pt idx="34">
                  <c:v>2.7999999999999997E-2</c:v>
                </c:pt>
                <c:pt idx="35">
                  <c:v>2.7999999999999997E-2</c:v>
                </c:pt>
                <c:pt idx="36">
                  <c:v>2.8999999999999998E-2</c:v>
                </c:pt>
                <c:pt idx="37">
                  <c:v>3.6000000000000004E-2</c:v>
                </c:pt>
                <c:pt idx="38">
                  <c:v>4.4999999999999998E-2</c:v>
                </c:pt>
                <c:pt idx="39">
                  <c:v>4.8000000000000001E-2</c:v>
                </c:pt>
                <c:pt idx="40">
                  <c:v>5.2000000000000005E-2</c:v>
                </c:pt>
                <c:pt idx="41">
                  <c:v>5.7999999999999996E-2</c:v>
                </c:pt>
                <c:pt idx="42">
                  <c:v>6.0999999999999999E-2</c:v>
                </c:pt>
                <c:pt idx="43">
                  <c:v>5.9000000000000004E-2</c:v>
                </c:pt>
                <c:pt idx="44">
                  <c:v>5.5999999999999994E-2</c:v>
                </c:pt>
                <c:pt idx="45">
                  <c:v>6.2E-2</c:v>
                </c:pt>
                <c:pt idx="46">
                  <c:v>6.2E-2</c:v>
                </c:pt>
                <c:pt idx="47">
                  <c:v>5.9000000000000004E-2</c:v>
                </c:pt>
                <c:pt idx="48">
                  <c:v>0.06</c:v>
                </c:pt>
                <c:pt idx="49">
                  <c:v>0.06</c:v>
                </c:pt>
              </c:numCache>
            </c:numRef>
          </c:val>
          <c:extLst>
            <c:ext xmlns:c16="http://schemas.microsoft.com/office/drawing/2014/chart" uri="{C3380CC4-5D6E-409C-BE32-E72D297353CC}">
              <c16:uniqueId val="{00000001-2761-490D-8604-1D603CCD7CD9}"/>
            </c:ext>
          </c:extLst>
        </c:ser>
        <c:dLbls>
          <c:showLegendKey val="0"/>
          <c:showVal val="0"/>
          <c:showCatName val="0"/>
          <c:showSerName val="0"/>
          <c:showPercent val="0"/>
          <c:showBubbleSize val="0"/>
        </c:dLbls>
        <c:gapWidth val="219"/>
        <c:axId val="520530696"/>
        <c:axId val="520531352"/>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'[graph inflation conso.xlsx]Feuil1'!$A$14:$A$63</c15:sqref>
                        </c15:formulaRef>
                      </c:ext>
                    </c:extLst>
                    <c:strCache>
                      <c:ptCount val="50"/>
                      <c:pt idx="0">
                        <c:v>P 01_19</c:v>
                      </c:pt>
                      <c:pt idx="1">
                        <c:v>P 02_19</c:v>
                      </c:pt>
                      <c:pt idx="2">
                        <c:v>P 03_19</c:v>
                      </c:pt>
                      <c:pt idx="3">
                        <c:v>P 04_19</c:v>
                      </c:pt>
                      <c:pt idx="4">
                        <c:v>P 05_19</c:v>
                      </c:pt>
                      <c:pt idx="5">
                        <c:v>P 06_19</c:v>
                      </c:pt>
                      <c:pt idx="6">
                        <c:v>P 07_19</c:v>
                      </c:pt>
                      <c:pt idx="7">
                        <c:v>P08_19</c:v>
                      </c:pt>
                      <c:pt idx="8">
                        <c:v>P09_19</c:v>
                      </c:pt>
                      <c:pt idx="9">
                        <c:v>P10_19</c:v>
                      </c:pt>
                      <c:pt idx="10">
                        <c:v>P11_19</c:v>
                      </c:pt>
                      <c:pt idx="11">
                        <c:v>P12_19</c:v>
                      </c:pt>
                      <c:pt idx="12">
                        <c:v>P01_20</c:v>
                      </c:pt>
                      <c:pt idx="13">
                        <c:v>P02_20</c:v>
                      </c:pt>
                      <c:pt idx="14">
                        <c:v>P03_20</c:v>
                      </c:pt>
                      <c:pt idx="15">
                        <c:v>P04_20</c:v>
                      </c:pt>
                      <c:pt idx="16">
                        <c:v>P05_20</c:v>
                      </c:pt>
                      <c:pt idx="17">
                        <c:v>P06_20</c:v>
                      </c:pt>
                      <c:pt idx="18">
                        <c:v>P07_20</c:v>
                      </c:pt>
                      <c:pt idx="19">
                        <c:v>P08_20</c:v>
                      </c:pt>
                      <c:pt idx="20">
                        <c:v>P09_20</c:v>
                      </c:pt>
                      <c:pt idx="21">
                        <c:v>P10_20</c:v>
                      </c:pt>
                      <c:pt idx="22">
                        <c:v>P11_20</c:v>
                      </c:pt>
                      <c:pt idx="23">
                        <c:v>P12_20</c:v>
                      </c:pt>
                      <c:pt idx="24">
                        <c:v>P01_21</c:v>
                      </c:pt>
                      <c:pt idx="25">
                        <c:v>P02_21</c:v>
                      </c:pt>
                      <c:pt idx="26">
                        <c:v>P03_21</c:v>
                      </c:pt>
                      <c:pt idx="27">
                        <c:v>P04_21</c:v>
                      </c:pt>
                      <c:pt idx="28">
                        <c:v>P05_21</c:v>
                      </c:pt>
                      <c:pt idx="29">
                        <c:v>P06_21</c:v>
                      </c:pt>
                      <c:pt idx="30">
                        <c:v>P07_21</c:v>
                      </c:pt>
                      <c:pt idx="31">
                        <c:v>P08_21</c:v>
                      </c:pt>
                      <c:pt idx="32">
                        <c:v>P09_21</c:v>
                      </c:pt>
                      <c:pt idx="33">
                        <c:v>P10_21</c:v>
                      </c:pt>
                      <c:pt idx="34">
                        <c:v>P11_21</c:v>
                      </c:pt>
                      <c:pt idx="35">
                        <c:v>P12_21</c:v>
                      </c:pt>
                      <c:pt idx="36">
                        <c:v>P13_21</c:v>
                      </c:pt>
                      <c:pt idx="37">
                        <c:v>P01_22</c:v>
                      </c:pt>
                      <c:pt idx="38">
                        <c:v>P02_22</c:v>
                      </c:pt>
                      <c:pt idx="39">
                        <c:v>P03_22</c:v>
                      </c:pt>
                      <c:pt idx="40">
                        <c:v>P04_22</c:v>
                      </c:pt>
                      <c:pt idx="41">
                        <c:v>P05_22</c:v>
                      </c:pt>
                      <c:pt idx="42">
                        <c:v>P06_22</c:v>
                      </c:pt>
                      <c:pt idx="43">
                        <c:v>P07_22</c:v>
                      </c:pt>
                      <c:pt idx="44">
                        <c:v>P08_22</c:v>
                      </c:pt>
                      <c:pt idx="45">
                        <c:v>P09_22</c:v>
                      </c:pt>
                      <c:pt idx="46">
                        <c:v>P10_22</c:v>
                      </c:pt>
                      <c:pt idx="47">
                        <c:v>P11_22</c:v>
                      </c:pt>
                      <c:pt idx="48">
                        <c:v>P12_22</c:v>
                      </c:pt>
                      <c:pt idx="49">
                        <c:v>P01_23</c:v>
                      </c:pt>
                    </c:strCache>
                  </c:strRef>
                </c:cat>
                <c:val>
                  <c:numRef>
                    <c:extLst>
                      <c:ext uri="{02D57815-91ED-43cb-92C2-25804820EDAC}">
                        <c15:formulaRef>
                          <c15:sqref>'[graph inflation conso.xlsx]Feuil1'!$B$14:$B$63</c15:sqref>
                        </c15:formulaRef>
                      </c:ext>
                    </c:extLst>
                    <c:numCache>
                      <c:formatCode>#,##0</c:formatCode>
                      <c:ptCount val="50"/>
                      <c:pt idx="0">
                        <c:v>627648.53830901464</c:v>
                      </c:pt>
                      <c:pt idx="1">
                        <c:v>635310.66374535591</c:v>
                      </c:pt>
                      <c:pt idx="2">
                        <c:v>644130.59609341994</c:v>
                      </c:pt>
                      <c:pt idx="3">
                        <c:v>651293.49575158325</c:v>
                      </c:pt>
                      <c:pt idx="4">
                        <c:v>659409.71959735116</c:v>
                      </c:pt>
                      <c:pt idx="5">
                        <c:v>666836.7142529306</c:v>
                      </c:pt>
                      <c:pt idx="6">
                        <c:v>675509.96541957732</c:v>
                      </c:pt>
                      <c:pt idx="7">
                        <c:v>683761.64823001879</c:v>
                      </c:pt>
                      <c:pt idx="8">
                        <c:v>689895.35854232649</c:v>
                      </c:pt>
                      <c:pt idx="9">
                        <c:v>696901.06543693703</c:v>
                      </c:pt>
                      <c:pt idx="10">
                        <c:v>702617.46512517356</c:v>
                      </c:pt>
                      <c:pt idx="11">
                        <c:v>707692.3996826678</c:v>
                      </c:pt>
                      <c:pt idx="12">
                        <c:v>711289.33304341906</c:v>
                      </c:pt>
                      <c:pt idx="13">
                        <c:v>714398.2564374276</c:v>
                      </c:pt>
                      <c:pt idx="14">
                        <c:v>710497.0070624575</c:v>
                      </c:pt>
                      <c:pt idx="15">
                        <c:v>714182.14267225482</c:v>
                      </c:pt>
                      <c:pt idx="16">
                        <c:v>734602.29033487313</c:v>
                      </c:pt>
                      <c:pt idx="17">
                        <c:v>737914.73513156397</c:v>
                      </c:pt>
                      <c:pt idx="18">
                        <c:v>743495.60768563545</c:v>
                      </c:pt>
                      <c:pt idx="19">
                        <c:v>742762.05434276327</c:v>
                      </c:pt>
                      <c:pt idx="20">
                        <c:v>739579.50834180729</c:v>
                      </c:pt>
                      <c:pt idx="21">
                        <c:v>740291.79467257066</c:v>
                      </c:pt>
                      <c:pt idx="22">
                        <c:v>749583.04294715577</c:v>
                      </c:pt>
                      <c:pt idx="23">
                        <c:v>750125.42180494592</c:v>
                      </c:pt>
                      <c:pt idx="24">
                        <c:v>756307.6318254564</c:v>
                      </c:pt>
                      <c:pt idx="25">
                        <c:v>757625.04761310411</c:v>
                      </c:pt>
                      <c:pt idx="26">
                        <c:v>754728.37149711407</c:v>
                      </c:pt>
                      <c:pt idx="27">
                        <c:v>757784.70293334033</c:v>
                      </c:pt>
                      <c:pt idx="28">
                        <c:v>758107.97854176944</c:v>
                      </c:pt>
                      <c:pt idx="29">
                        <c:v>740091.04993511783</c:v>
                      </c:pt>
                      <c:pt idx="30">
                        <c:v>735135.19285722193</c:v>
                      </c:pt>
                      <c:pt idx="31">
                        <c:v>730912.04801552021</c:v>
                      </c:pt>
                      <c:pt idx="32">
                        <c:v>727097.9738520321</c:v>
                      </c:pt>
                      <c:pt idx="33">
                        <c:v>723418.55398865289</c:v>
                      </c:pt>
                      <c:pt idx="34">
                        <c:v>720744.27606953774</c:v>
                      </c:pt>
                      <c:pt idx="35">
                        <c:v>717222.18917973386</c:v>
                      </c:pt>
                      <c:pt idx="36">
                        <c:v>712475.40921713912</c:v>
                      </c:pt>
                      <c:pt idx="37">
                        <c:v>701841.71505484346</c:v>
                      </c:pt>
                      <c:pt idx="38">
                        <c:v>697182.42555571464</c:v>
                      </c:pt>
                      <c:pt idx="39">
                        <c:v>692815.46699943487</c:v>
                      </c:pt>
                      <c:pt idx="40">
                        <c:v>686383.84517176077</c:v>
                      </c:pt>
                      <c:pt idx="41">
                        <c:v>680056.05297126272</c:v>
                      </c:pt>
                      <c:pt idx="42">
                        <c:v>672719.35849401751</c:v>
                      </c:pt>
                      <c:pt idx="43">
                        <c:v>663515.64679363323</c:v>
                      </c:pt>
                      <c:pt idx="44">
                        <c:v>655168.34603872779</c:v>
                      </c:pt>
                      <c:pt idx="45">
                        <c:v>650753.78596264217</c:v>
                      </c:pt>
                      <c:pt idx="46">
                        <c:v>646316.80858454446</c:v>
                      </c:pt>
                      <c:pt idx="47">
                        <c:v>642341.52905891952</c:v>
                      </c:pt>
                      <c:pt idx="48">
                        <c:v>637227.60620357131</c:v>
                      </c:pt>
                      <c:pt idx="49">
                        <c:v>633138.10008739482</c:v>
                      </c:pt>
                    </c:numCache>
                  </c:numRef>
                </c:val>
                <c:extLst>
                  <c:ext xmlns:c16="http://schemas.microsoft.com/office/drawing/2014/chart" uri="{C3380CC4-5D6E-409C-BE32-E72D297353CC}">
                    <c16:uniqueId val="{00000002-2761-490D-8604-1D603CCD7CD9}"/>
                  </c:ext>
                </c:extLst>
              </c15:ser>
            </c15:filteredBarSeries>
            <c15:filteredBarSeries>
              <c15:ser>
                <c:idx val="2"/>
                <c:order val="2"/>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'[graph inflation conso.xlsx]Feuil1'!$A$14:$A$63</c15:sqref>
                        </c15:formulaRef>
                      </c:ext>
                    </c:extLst>
                    <c:strCache>
                      <c:ptCount val="50"/>
                      <c:pt idx="0">
                        <c:v>P 01_19</c:v>
                      </c:pt>
                      <c:pt idx="1">
                        <c:v>P 02_19</c:v>
                      </c:pt>
                      <c:pt idx="2">
                        <c:v>P 03_19</c:v>
                      </c:pt>
                      <c:pt idx="3">
                        <c:v>P 04_19</c:v>
                      </c:pt>
                      <c:pt idx="4">
                        <c:v>P 05_19</c:v>
                      </c:pt>
                      <c:pt idx="5">
                        <c:v>P 06_19</c:v>
                      </c:pt>
                      <c:pt idx="6">
                        <c:v>P 07_19</c:v>
                      </c:pt>
                      <c:pt idx="7">
                        <c:v>P08_19</c:v>
                      </c:pt>
                      <c:pt idx="8">
                        <c:v>P09_19</c:v>
                      </c:pt>
                      <c:pt idx="9">
                        <c:v>P10_19</c:v>
                      </c:pt>
                      <c:pt idx="10">
                        <c:v>P11_19</c:v>
                      </c:pt>
                      <c:pt idx="11">
                        <c:v>P12_19</c:v>
                      </c:pt>
                      <c:pt idx="12">
                        <c:v>P01_20</c:v>
                      </c:pt>
                      <c:pt idx="13">
                        <c:v>P02_20</c:v>
                      </c:pt>
                      <c:pt idx="14">
                        <c:v>P03_20</c:v>
                      </c:pt>
                      <c:pt idx="15">
                        <c:v>P04_20</c:v>
                      </c:pt>
                      <c:pt idx="16">
                        <c:v>P05_20</c:v>
                      </c:pt>
                      <c:pt idx="17">
                        <c:v>P06_20</c:v>
                      </c:pt>
                      <c:pt idx="18">
                        <c:v>P07_20</c:v>
                      </c:pt>
                      <c:pt idx="19">
                        <c:v>P08_20</c:v>
                      </c:pt>
                      <c:pt idx="20">
                        <c:v>P09_20</c:v>
                      </c:pt>
                      <c:pt idx="21">
                        <c:v>P10_20</c:v>
                      </c:pt>
                      <c:pt idx="22">
                        <c:v>P11_20</c:v>
                      </c:pt>
                      <c:pt idx="23">
                        <c:v>P12_20</c:v>
                      </c:pt>
                      <c:pt idx="24">
                        <c:v>P01_21</c:v>
                      </c:pt>
                      <c:pt idx="25">
                        <c:v>P02_21</c:v>
                      </c:pt>
                      <c:pt idx="26">
                        <c:v>P03_21</c:v>
                      </c:pt>
                      <c:pt idx="27">
                        <c:v>P04_21</c:v>
                      </c:pt>
                      <c:pt idx="28">
                        <c:v>P05_21</c:v>
                      </c:pt>
                      <c:pt idx="29">
                        <c:v>P06_21</c:v>
                      </c:pt>
                      <c:pt idx="30">
                        <c:v>P07_21</c:v>
                      </c:pt>
                      <c:pt idx="31">
                        <c:v>P08_21</c:v>
                      </c:pt>
                      <c:pt idx="32">
                        <c:v>P09_21</c:v>
                      </c:pt>
                      <c:pt idx="33">
                        <c:v>P10_21</c:v>
                      </c:pt>
                      <c:pt idx="34">
                        <c:v>P11_21</c:v>
                      </c:pt>
                      <c:pt idx="35">
                        <c:v>P12_21</c:v>
                      </c:pt>
                      <c:pt idx="36">
                        <c:v>P13_21</c:v>
                      </c:pt>
                      <c:pt idx="37">
                        <c:v>P01_22</c:v>
                      </c:pt>
                      <c:pt idx="38">
                        <c:v>P02_22</c:v>
                      </c:pt>
                      <c:pt idx="39">
                        <c:v>P03_22</c:v>
                      </c:pt>
                      <c:pt idx="40">
                        <c:v>P04_22</c:v>
                      </c:pt>
                      <c:pt idx="41">
                        <c:v>P05_22</c:v>
                      </c:pt>
                      <c:pt idx="42">
                        <c:v>P06_22</c:v>
                      </c:pt>
                      <c:pt idx="43">
                        <c:v>P07_22</c:v>
                      </c:pt>
                      <c:pt idx="44">
                        <c:v>P08_22</c:v>
                      </c:pt>
                      <c:pt idx="45">
                        <c:v>P09_22</c:v>
                      </c:pt>
                      <c:pt idx="46">
                        <c:v>P10_22</c:v>
                      </c:pt>
                      <c:pt idx="47">
                        <c:v>P11_22</c:v>
                      </c:pt>
                      <c:pt idx="48">
                        <c:v>P12_22</c:v>
                      </c:pt>
                      <c:pt idx="49">
                        <c:v>P01_23</c:v>
                      </c:pt>
                    </c:strCache>
                  </c:strRef>
                </c:cat>
                <c:val>
                  <c:numRef>
                    <c:extLst xmlns:c15="http://schemas.microsoft.com/office/drawing/2012/chart">
                      <c:ext xmlns:c15="http://schemas.microsoft.com/office/drawing/2012/chart" uri="{02D57815-91ED-43cb-92C2-25804820EDAC}">
                        <c15:formulaRef>
                          <c15:sqref>'[graph inflation conso.xlsx]Feuil1'!$D$14:$D$63</c15:sqref>
                        </c15:formulaRef>
                      </c:ext>
                    </c:extLst>
                    <c:numCache>
                      <c:formatCode>0%</c:formatCode>
                      <c:ptCount val="50"/>
                      <c:pt idx="0">
                        <c:v>1.2</c:v>
                      </c:pt>
                      <c:pt idx="1">
                        <c:v>1.3</c:v>
                      </c:pt>
                      <c:pt idx="2">
                        <c:v>1.1000000000000001</c:v>
                      </c:pt>
                      <c:pt idx="3">
                        <c:v>1.3</c:v>
                      </c:pt>
                      <c:pt idx="4">
                        <c:v>0.9</c:v>
                      </c:pt>
                      <c:pt idx="5">
                        <c:v>1.2</c:v>
                      </c:pt>
                      <c:pt idx="6">
                        <c:v>1.1000000000000001</c:v>
                      </c:pt>
                      <c:pt idx="7">
                        <c:v>1</c:v>
                      </c:pt>
                      <c:pt idx="8">
                        <c:v>0.9</c:v>
                      </c:pt>
                      <c:pt idx="9">
                        <c:v>0.8</c:v>
                      </c:pt>
                      <c:pt idx="10">
                        <c:v>1</c:v>
                      </c:pt>
                      <c:pt idx="11">
                        <c:v>1.5</c:v>
                      </c:pt>
                      <c:pt idx="12">
                        <c:v>1.5</c:v>
                      </c:pt>
                      <c:pt idx="13">
                        <c:v>1.4</c:v>
                      </c:pt>
                      <c:pt idx="14">
                        <c:v>0.7</c:v>
                      </c:pt>
                      <c:pt idx="15">
                        <c:v>0.3</c:v>
                      </c:pt>
                      <c:pt idx="16">
                        <c:v>0.4</c:v>
                      </c:pt>
                      <c:pt idx="17">
                        <c:v>0.2</c:v>
                      </c:pt>
                      <c:pt idx="18">
                        <c:v>0.8</c:v>
                      </c:pt>
                      <c:pt idx="19">
                        <c:v>0.2</c:v>
                      </c:pt>
                      <c:pt idx="20">
                        <c:v>0</c:v>
                      </c:pt>
                      <c:pt idx="21">
                        <c:v>0</c:v>
                      </c:pt>
                      <c:pt idx="22">
                        <c:v>0.2</c:v>
                      </c:pt>
                      <c:pt idx="23">
                        <c:v>0</c:v>
                      </c:pt>
                      <c:pt idx="24">
                        <c:v>0.6</c:v>
                      </c:pt>
                      <c:pt idx="25">
                        <c:v>0.6</c:v>
                      </c:pt>
                      <c:pt idx="26">
                        <c:v>1.1000000000000001</c:v>
                      </c:pt>
                      <c:pt idx="27">
                        <c:v>1.2</c:v>
                      </c:pt>
                      <c:pt idx="28">
                        <c:v>1.4</c:v>
                      </c:pt>
                      <c:pt idx="29">
                        <c:v>1.5</c:v>
                      </c:pt>
                      <c:pt idx="30">
                        <c:v>1.2</c:v>
                      </c:pt>
                      <c:pt idx="31">
                        <c:v>1.9</c:v>
                      </c:pt>
                      <c:pt idx="32">
                        <c:v>2.2000000000000002</c:v>
                      </c:pt>
                      <c:pt idx="33">
                        <c:v>2.6</c:v>
                      </c:pt>
                      <c:pt idx="34">
                        <c:v>2.8</c:v>
                      </c:pt>
                      <c:pt idx="35">
                        <c:v>2.8</c:v>
                      </c:pt>
                      <c:pt idx="36">
                        <c:v>2.9</c:v>
                      </c:pt>
                      <c:pt idx="37">
                        <c:v>3.6</c:v>
                      </c:pt>
                      <c:pt idx="38">
                        <c:v>4.5</c:v>
                      </c:pt>
                      <c:pt idx="39">
                        <c:v>4.8</c:v>
                      </c:pt>
                      <c:pt idx="40">
                        <c:v>5.2</c:v>
                      </c:pt>
                      <c:pt idx="41">
                        <c:v>5.8</c:v>
                      </c:pt>
                      <c:pt idx="42">
                        <c:v>6.1</c:v>
                      </c:pt>
                      <c:pt idx="43">
                        <c:v>5.9</c:v>
                      </c:pt>
                      <c:pt idx="44">
                        <c:v>5.6</c:v>
                      </c:pt>
                      <c:pt idx="45">
                        <c:v>6.2</c:v>
                      </c:pt>
                      <c:pt idx="46">
                        <c:v>6.2</c:v>
                      </c:pt>
                      <c:pt idx="47">
                        <c:v>5.9</c:v>
                      </c:pt>
                      <c:pt idx="48">
                        <c:v>6</c:v>
                      </c:pt>
                    </c:numCache>
                  </c:numRef>
                </c:val>
                <c:extLst xmlns:c15="http://schemas.microsoft.com/office/drawing/2012/chart">
                  <c:ext xmlns:c16="http://schemas.microsoft.com/office/drawing/2014/chart" uri="{C3380CC4-5D6E-409C-BE32-E72D297353CC}">
                    <c16:uniqueId val="{00000003-2761-490D-8604-1D603CCD7CD9}"/>
                  </c:ext>
                </c:extLst>
              </c15:ser>
            </c15:filteredBarSeries>
          </c:ext>
        </c:extLst>
      </c:barChart>
      <c:catAx>
        <c:axId val="520530696"/>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fr-FR"/>
          </a:p>
        </c:txPr>
        <c:crossAx val="520531352"/>
        <c:crosses val="autoZero"/>
        <c:auto val="1"/>
        <c:lblAlgn val="ctr"/>
        <c:lblOffset val="100"/>
        <c:noMultiLvlLbl val="0"/>
      </c:catAx>
      <c:valAx>
        <c:axId val="520531352"/>
        <c:scaling>
          <c:orientation val="minMax"/>
          <c:max val="0.2"/>
          <c:min val="-0.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fr-FR" sz="1100"/>
                  <a:t>Evolution N/N-1 en %</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fr-F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fr-FR"/>
          </a:p>
        </c:txPr>
        <c:crossAx val="520530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7.png"/></Relationships>
</file>

<file path=word/drawings/drawing1.xml><?xml version="1.0" encoding="utf-8"?>
<c:userShapes xmlns:c="http://schemas.openxmlformats.org/drawingml/2006/chart">
  <cdr:relSizeAnchor xmlns:cdr="http://schemas.openxmlformats.org/drawingml/2006/chartDrawing">
    <cdr:from>
      <cdr:x>0.87694</cdr:x>
      <cdr:y>0.89045</cdr:y>
    </cdr:from>
    <cdr:to>
      <cdr:x>1</cdr:x>
      <cdr:y>1</cdr:y>
    </cdr:to>
    <cdr:pic>
      <cdr:nvPicPr>
        <cdr:cNvPr id="2" name="chart">
          <a:extLst xmlns:a="http://schemas.openxmlformats.org/drawingml/2006/main">
            <a:ext uri="{FF2B5EF4-FFF2-40B4-BE49-F238E27FC236}">
              <a16:creationId xmlns:a16="http://schemas.microsoft.com/office/drawing/2014/main" id="{9C502BE4-5620-0D78-84ED-600557D30308}"/>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331713" y="4973991"/>
          <a:ext cx="748227" cy="611955"/>
        </a:xfrm>
        <a:prstGeom xmlns:a="http://schemas.openxmlformats.org/drawingml/2006/main" prst="rect">
          <a:avLst/>
        </a:prstGeom>
      </cdr:spPr>
    </cdr:pic>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CE21986B8B6745AA449E356F666958" ma:contentTypeVersion="13" ma:contentTypeDescription="Crée un document." ma:contentTypeScope="" ma:versionID="3fae50915000f63a06a9210a67b655c3">
  <xsd:schema xmlns:xsd="http://www.w3.org/2001/XMLSchema" xmlns:xs="http://www.w3.org/2001/XMLSchema" xmlns:p="http://schemas.microsoft.com/office/2006/metadata/properties" xmlns:ns2="05ba07e4-a149-48da-aa2c-afd7e7bb7ec7" xmlns:ns3="a790f846-ba42-4696-a21f-2318fbf090e3" targetNamespace="http://schemas.microsoft.com/office/2006/metadata/properties" ma:root="true" ma:fieldsID="320077ba20d58d872efa9396ba7d78e5" ns2:_="" ns3:_="">
    <xsd:import namespace="05ba07e4-a149-48da-aa2c-afd7e7bb7ec7"/>
    <xsd:import namespace="a790f846-ba42-4696-a21f-2318fbf090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a07e4-a149-48da-aa2c-afd7e7bb7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bbea35d9-b648-4808-a985-bf655b8e4f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90f846-ba42-4696-a21f-2318fbf090e3"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0" nillable="true" ma:displayName="Colonne Attraper tout de Taxonomie" ma:hidden="true" ma:list="{50639cc3-1c25-477a-aa3a-05434c196bc4}" ma:internalName="TaxCatchAll" ma:showField="CatchAllData" ma:web="a790f846-ba42-4696-a21f-2318fbf09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ba07e4-a149-48da-aa2c-afd7e7bb7ec7">
      <Terms xmlns="http://schemas.microsoft.com/office/infopath/2007/PartnerControls"/>
    </lcf76f155ced4ddcb4097134ff3c332f>
    <TaxCatchAll xmlns="a790f846-ba42-4696-a21f-2318fbf090e3" xsi:nil="true"/>
    <SharedWithUsers xmlns="a790f846-ba42-4696-a21f-2318fbf090e3">
      <UserInfo>
        <DisplayName>LE BOULANGER Alain</DisplayName>
        <AccountId>351</AccountId>
        <AccountType/>
      </UserInfo>
      <UserInfo>
        <DisplayName>RUMIGNY-PASSAS Anne-Sophie</DisplayName>
        <AccountId>251</AccountId>
        <AccountType/>
      </UserInfo>
      <UserInfo>
        <DisplayName>AZZA Nadia</DisplayName>
        <AccountId>1775</AccountId>
        <AccountType/>
      </UserInfo>
      <UserInfo>
        <DisplayName>CHAUMET Jean-Marc</DisplayName>
        <AccountId>1762</AccountId>
        <AccountType/>
      </UserInfo>
      <UserInfo>
        <DisplayName>PUVILLAND Corentin</DisplayName>
        <AccountId>2126</AccountId>
        <AccountType/>
      </UserInfo>
      <UserInfo>
        <DisplayName>DURIER Mallorie</DisplayName>
        <AccountId>1039</AccountId>
        <AccountType/>
      </UserInfo>
    </SharedWithUsers>
  </documentManagement>
</p:properties>
</file>

<file path=customXml/itemProps1.xml><?xml version="1.0" encoding="utf-8"?>
<ds:datastoreItem xmlns:ds="http://schemas.openxmlformats.org/officeDocument/2006/customXml" ds:itemID="{23B3344B-CC29-4CAD-8D5F-15FD8949E0D6}">
  <ds:schemaRefs>
    <ds:schemaRef ds:uri="http://schemas.microsoft.com/sharepoint/v3/contenttype/forms"/>
  </ds:schemaRefs>
</ds:datastoreItem>
</file>

<file path=customXml/itemProps2.xml><?xml version="1.0" encoding="utf-8"?>
<ds:datastoreItem xmlns:ds="http://schemas.openxmlformats.org/officeDocument/2006/customXml" ds:itemID="{8A51091C-4F4F-4F4C-AAD7-A78A7DEDE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a07e4-a149-48da-aa2c-afd7e7bb7ec7"/>
    <ds:schemaRef ds:uri="a790f846-ba42-4696-a21f-2318fbf09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9B512-10F3-48AA-8C3E-819176C332E8}">
  <ds:schemaRefs>
    <ds:schemaRef ds:uri="http://schemas.microsoft.com/office/2006/metadata/properties"/>
    <ds:schemaRef ds:uri="http://schemas.microsoft.com/office/infopath/2007/PartnerControls"/>
    <ds:schemaRef ds:uri="05ba07e4-a149-48da-aa2c-afd7e7bb7ec7"/>
    <ds:schemaRef ds:uri="a790f846-ba42-4696-a21f-2318fbf090e3"/>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4</Pages>
  <Words>716</Words>
  <Characters>3940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PUVILLAND Corentin</dc:creator>
  <cp:keywords/>
  <dc:description/>
  <cp:lastModifiedBy>PUVILLAND Corentin</cp:lastModifiedBy>
  <cp:revision>55</cp:revision>
  <cp:lastPrinted>2023-04-27T08:51:00Z</cp:lastPrinted>
  <dcterms:created xsi:type="dcterms:W3CDTF">2023-04-25T13:58:00Z</dcterms:created>
  <dcterms:modified xsi:type="dcterms:W3CDTF">2023-05-02T09:07:00Z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0x010100B4CE21986B8B6745AA449E356F666958</vt:lpwstr>
  </property>
  <property fmtid="{D5CDD505-2E9C-101B-9397-08002B2CF9AE}" pid="3" name="MediaServiceImageTags">
    <vt:lpwstr/>
  </property>
</Properties>
</file>